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F3BEF" w14:textId="77777777" w:rsidR="00387C1F" w:rsidRDefault="00387C1F" w:rsidP="003B1E30">
      <w:pPr>
        <w:spacing w:after="0" w:line="240" w:lineRule="auto"/>
        <w:rPr>
          <w:rFonts w:ascii="Cambria" w:hAnsi="Cambria"/>
          <w:highlight w:val="lightGray"/>
        </w:rPr>
      </w:pPr>
    </w:p>
    <w:p w14:paraId="54F71158" w14:textId="77777777" w:rsidR="00194A96" w:rsidRPr="00267485" w:rsidRDefault="00194A96" w:rsidP="003B1E30">
      <w:pPr>
        <w:spacing w:after="0" w:line="240" w:lineRule="auto"/>
        <w:rPr>
          <w:rFonts w:ascii="Cambria" w:hAnsi="Cambria"/>
          <w:sz w:val="24"/>
          <w:szCs w:val="24"/>
          <w:highlight w:val="lightGray"/>
        </w:rPr>
      </w:pPr>
      <w:r w:rsidRPr="00267485">
        <w:rPr>
          <w:rFonts w:ascii="Cambria" w:hAnsi="Cambria"/>
          <w:sz w:val="24"/>
          <w:szCs w:val="24"/>
          <w:highlight w:val="lightGray"/>
        </w:rPr>
        <w:t>HEALTH INSURER</w:t>
      </w:r>
    </w:p>
    <w:p w14:paraId="25613037" w14:textId="77777777" w:rsidR="00194A96" w:rsidRPr="00267485" w:rsidRDefault="00194A96" w:rsidP="003B1E30">
      <w:pPr>
        <w:spacing w:after="0" w:line="240" w:lineRule="auto"/>
        <w:rPr>
          <w:rFonts w:ascii="Cambria" w:hAnsi="Cambria"/>
          <w:sz w:val="24"/>
          <w:szCs w:val="24"/>
          <w:highlight w:val="lightGray"/>
        </w:rPr>
      </w:pPr>
      <w:r w:rsidRPr="00267485">
        <w:rPr>
          <w:rFonts w:ascii="Cambria" w:hAnsi="Cambria"/>
          <w:sz w:val="24"/>
          <w:szCs w:val="24"/>
          <w:highlight w:val="lightGray"/>
        </w:rPr>
        <w:t>123 Insurance Way</w:t>
      </w:r>
    </w:p>
    <w:p w14:paraId="1C838041" w14:textId="77777777" w:rsidR="00194A96" w:rsidRPr="00267485" w:rsidRDefault="00194A96" w:rsidP="003B1E30">
      <w:pPr>
        <w:spacing w:after="0" w:line="240" w:lineRule="auto"/>
        <w:rPr>
          <w:rFonts w:ascii="Cambria" w:hAnsi="Cambria"/>
          <w:sz w:val="24"/>
          <w:szCs w:val="24"/>
        </w:rPr>
      </w:pPr>
      <w:r w:rsidRPr="00267485">
        <w:rPr>
          <w:rFonts w:ascii="Cambria" w:hAnsi="Cambria"/>
          <w:sz w:val="24"/>
          <w:szCs w:val="24"/>
          <w:highlight w:val="lightGray"/>
        </w:rPr>
        <w:t>Anywhere, IL  012345</w:t>
      </w:r>
    </w:p>
    <w:p w14:paraId="58CB16DE" w14:textId="77777777" w:rsidR="00876264" w:rsidRPr="00267485" w:rsidRDefault="00876264" w:rsidP="003B1E30">
      <w:pPr>
        <w:spacing w:after="0" w:line="240" w:lineRule="auto"/>
        <w:rPr>
          <w:rFonts w:ascii="Cambria" w:hAnsi="Cambria"/>
          <w:sz w:val="24"/>
          <w:szCs w:val="24"/>
          <w:highlight w:val="lightGray"/>
        </w:rPr>
      </w:pPr>
    </w:p>
    <w:p w14:paraId="02392A81" w14:textId="77777777" w:rsidR="00876264" w:rsidRPr="00267485" w:rsidRDefault="00876264" w:rsidP="003B1E30">
      <w:pPr>
        <w:spacing w:after="0" w:line="240" w:lineRule="auto"/>
        <w:rPr>
          <w:rFonts w:ascii="Cambria" w:hAnsi="Cambria"/>
          <w:sz w:val="24"/>
          <w:szCs w:val="24"/>
          <w:highlight w:val="lightGray"/>
        </w:rPr>
      </w:pPr>
    </w:p>
    <w:p w14:paraId="7BDC0205" w14:textId="77777777" w:rsidR="00194A96" w:rsidRPr="00267485" w:rsidRDefault="00194A96" w:rsidP="003B1E30">
      <w:pPr>
        <w:spacing w:after="0" w:line="240" w:lineRule="auto"/>
        <w:rPr>
          <w:rFonts w:ascii="Cambria" w:hAnsi="Cambria"/>
          <w:sz w:val="24"/>
          <w:szCs w:val="24"/>
        </w:rPr>
      </w:pPr>
      <w:r w:rsidRPr="00267485">
        <w:rPr>
          <w:rFonts w:ascii="Cambria" w:hAnsi="Cambria"/>
          <w:sz w:val="24"/>
          <w:szCs w:val="24"/>
          <w:highlight w:val="lightGray"/>
        </w:rPr>
        <w:t>DATE</w:t>
      </w:r>
    </w:p>
    <w:p w14:paraId="662040E5" w14:textId="77777777" w:rsidR="00876264" w:rsidRPr="00267485" w:rsidRDefault="00876264" w:rsidP="003B1E30">
      <w:pPr>
        <w:spacing w:after="0" w:line="240" w:lineRule="auto"/>
        <w:rPr>
          <w:rFonts w:ascii="Cambria" w:hAnsi="Cambria"/>
          <w:sz w:val="24"/>
          <w:szCs w:val="24"/>
        </w:rPr>
      </w:pPr>
    </w:p>
    <w:p w14:paraId="424673CD" w14:textId="77777777" w:rsidR="00194A96" w:rsidRPr="00267485" w:rsidRDefault="00194A96" w:rsidP="003B1E30">
      <w:pPr>
        <w:spacing w:after="0" w:line="240" w:lineRule="auto"/>
        <w:rPr>
          <w:rFonts w:ascii="Cambria" w:hAnsi="Cambria"/>
          <w:sz w:val="24"/>
          <w:szCs w:val="24"/>
        </w:rPr>
      </w:pPr>
      <w:r w:rsidRPr="00267485">
        <w:rPr>
          <w:rFonts w:ascii="Cambria" w:hAnsi="Cambria"/>
          <w:sz w:val="24"/>
          <w:szCs w:val="24"/>
        </w:rPr>
        <w:t>RE:</w:t>
      </w:r>
      <w:r w:rsidRPr="00267485">
        <w:rPr>
          <w:rFonts w:ascii="Cambria" w:hAnsi="Cambria"/>
          <w:sz w:val="24"/>
          <w:szCs w:val="24"/>
        </w:rPr>
        <w:tab/>
      </w:r>
      <w:r w:rsidRPr="00267485">
        <w:rPr>
          <w:rFonts w:ascii="Cambria" w:hAnsi="Cambria"/>
          <w:sz w:val="24"/>
          <w:szCs w:val="24"/>
        </w:rPr>
        <w:tab/>
        <w:t xml:space="preserve">Claim # </w:t>
      </w:r>
      <w:r w:rsidRPr="00267485">
        <w:rPr>
          <w:rFonts w:ascii="Cambria" w:hAnsi="Cambria"/>
          <w:sz w:val="24"/>
          <w:szCs w:val="24"/>
          <w:highlight w:val="lightGray"/>
        </w:rPr>
        <w:t>XXXXXXXXXXX</w:t>
      </w:r>
    </w:p>
    <w:p w14:paraId="23D54E39" w14:textId="77777777" w:rsidR="00194A96" w:rsidRPr="00267485" w:rsidRDefault="00194A96" w:rsidP="003B1E30">
      <w:pPr>
        <w:spacing w:after="0" w:line="240" w:lineRule="auto"/>
        <w:rPr>
          <w:rFonts w:ascii="Cambria" w:hAnsi="Cambria"/>
          <w:sz w:val="24"/>
          <w:szCs w:val="24"/>
        </w:rPr>
      </w:pPr>
      <w:r w:rsidRPr="00267485">
        <w:rPr>
          <w:rFonts w:ascii="Cambria" w:hAnsi="Cambria"/>
          <w:sz w:val="24"/>
          <w:szCs w:val="24"/>
        </w:rPr>
        <w:t>Insured:</w:t>
      </w:r>
      <w:r w:rsidRPr="00267485">
        <w:rPr>
          <w:rFonts w:ascii="Cambria" w:hAnsi="Cambria"/>
          <w:sz w:val="24"/>
          <w:szCs w:val="24"/>
        </w:rPr>
        <w:tab/>
        <w:t xml:space="preserve">NAME (ID# </w:t>
      </w:r>
      <w:r w:rsidRPr="00267485">
        <w:rPr>
          <w:rFonts w:ascii="Cambria" w:hAnsi="Cambria"/>
          <w:sz w:val="24"/>
          <w:szCs w:val="24"/>
          <w:highlight w:val="lightGray"/>
        </w:rPr>
        <w:t>XXXXXXXXXXX</w:t>
      </w:r>
      <w:r w:rsidRPr="00267485">
        <w:rPr>
          <w:rFonts w:ascii="Cambria" w:hAnsi="Cambria"/>
          <w:sz w:val="24"/>
          <w:szCs w:val="24"/>
        </w:rPr>
        <w:t>)</w:t>
      </w:r>
    </w:p>
    <w:p w14:paraId="4926B6E0" w14:textId="77777777" w:rsidR="00194A96" w:rsidRPr="00267485" w:rsidRDefault="00194A96" w:rsidP="003B1E30">
      <w:pPr>
        <w:spacing w:after="0" w:line="240" w:lineRule="auto"/>
        <w:rPr>
          <w:rFonts w:ascii="Cambria" w:hAnsi="Cambria"/>
          <w:sz w:val="24"/>
          <w:szCs w:val="24"/>
        </w:rPr>
      </w:pPr>
      <w:r w:rsidRPr="00267485">
        <w:rPr>
          <w:rFonts w:ascii="Cambria" w:hAnsi="Cambria"/>
          <w:sz w:val="24"/>
          <w:szCs w:val="24"/>
        </w:rPr>
        <w:t>Claimant:</w:t>
      </w:r>
      <w:r w:rsidRPr="00267485">
        <w:rPr>
          <w:rFonts w:ascii="Cambria" w:hAnsi="Cambria"/>
          <w:sz w:val="24"/>
          <w:szCs w:val="24"/>
        </w:rPr>
        <w:tab/>
      </w:r>
      <w:r w:rsidRPr="00267485">
        <w:rPr>
          <w:rFonts w:ascii="Cambria" w:hAnsi="Cambria"/>
          <w:sz w:val="24"/>
          <w:szCs w:val="24"/>
          <w:highlight w:val="lightGray"/>
        </w:rPr>
        <w:t>NAME (DOB Mo-Day-Year)</w:t>
      </w:r>
    </w:p>
    <w:p w14:paraId="658017E0" w14:textId="77777777" w:rsidR="00B778A7" w:rsidRPr="00267485" w:rsidRDefault="00B778A7" w:rsidP="003B1E30">
      <w:pPr>
        <w:spacing w:after="220" w:line="240" w:lineRule="auto"/>
        <w:rPr>
          <w:rFonts w:ascii="Cambria" w:hAnsi="Cambria" w:cs="Times New Roman"/>
          <w:sz w:val="24"/>
          <w:szCs w:val="24"/>
        </w:rPr>
      </w:pPr>
    </w:p>
    <w:p w14:paraId="7E20DAE4" w14:textId="77777777" w:rsidR="005E011A" w:rsidRPr="00267485" w:rsidRDefault="005E011A" w:rsidP="003B1E30">
      <w:pPr>
        <w:spacing w:after="220" w:line="240" w:lineRule="auto"/>
        <w:rPr>
          <w:rFonts w:ascii="Cambria" w:hAnsi="Cambria" w:cs="Times New Roman"/>
          <w:color w:val="000000" w:themeColor="text1"/>
          <w:sz w:val="24"/>
          <w:szCs w:val="24"/>
        </w:rPr>
      </w:pPr>
      <w:r w:rsidRPr="00267485">
        <w:rPr>
          <w:rFonts w:ascii="Cambria" w:hAnsi="Cambria" w:cs="Times New Roman"/>
          <w:color w:val="000000" w:themeColor="text1"/>
          <w:sz w:val="24"/>
          <w:szCs w:val="24"/>
        </w:rPr>
        <w:t>To Whom It May Concern:</w:t>
      </w:r>
    </w:p>
    <w:p w14:paraId="7EA7EDA0" w14:textId="1A6838F4" w:rsidR="006279A2" w:rsidRPr="00267485" w:rsidRDefault="006279A2" w:rsidP="003B1E30">
      <w:pPr>
        <w:pStyle w:val="NormalWeb"/>
        <w:shd w:val="clear" w:color="auto" w:fill="FFFFFF"/>
        <w:spacing w:before="0" w:beforeAutospacing="0" w:after="220" w:afterAutospacing="0"/>
        <w:rPr>
          <w:rFonts w:ascii="Cambria" w:hAnsi="Cambria"/>
          <w:color w:val="000000" w:themeColor="text1"/>
        </w:rPr>
      </w:pPr>
      <w:r w:rsidRPr="00267485">
        <w:rPr>
          <w:rFonts w:ascii="Cambria" w:hAnsi="Cambria"/>
        </w:rPr>
        <w:t xml:space="preserve">I am writing to appeal </w:t>
      </w:r>
      <w:r w:rsidRPr="00267485">
        <w:rPr>
          <w:rFonts w:ascii="Cambria" w:hAnsi="Cambria"/>
          <w:highlight w:val="lightGray"/>
          <w:shd w:val="clear" w:color="auto" w:fill="D0CECE" w:themeFill="background2" w:themeFillShade="E6"/>
        </w:rPr>
        <w:t>[Health Plan Name]</w:t>
      </w:r>
      <w:r w:rsidRPr="00267485">
        <w:rPr>
          <w:rFonts w:ascii="Cambria" w:hAnsi="Cambria"/>
          <w:shd w:val="clear" w:color="auto" w:fill="FFFFFF"/>
        </w:rPr>
        <w:t xml:space="preserve">’s decision to deny coverage of genetic </w:t>
      </w:r>
      <w:r w:rsidRPr="00267485">
        <w:rPr>
          <w:rFonts w:ascii="Cambria" w:hAnsi="Cambria"/>
          <w:highlight w:val="lightGray"/>
          <w:shd w:val="clear" w:color="auto" w:fill="FFFFFF"/>
        </w:rPr>
        <w:t>[counseling and/or testing]</w:t>
      </w:r>
      <w:r w:rsidRPr="00267485">
        <w:rPr>
          <w:rFonts w:ascii="Cambria" w:hAnsi="Cambria"/>
          <w:shd w:val="clear" w:color="auto" w:fill="FFFFFF"/>
        </w:rPr>
        <w:t xml:space="preserve"> for a BRCA genetic mutation, which took place on </w:t>
      </w:r>
      <w:r w:rsidRPr="00267485">
        <w:rPr>
          <w:rFonts w:ascii="Cambria" w:hAnsi="Cambria"/>
          <w:highlight w:val="lightGray"/>
          <w:shd w:val="clear" w:color="auto" w:fill="FFFFFF"/>
        </w:rPr>
        <w:t>[date]</w:t>
      </w:r>
      <w:r w:rsidRPr="00267485">
        <w:rPr>
          <w:rFonts w:ascii="Cambria" w:hAnsi="Cambria"/>
          <w:shd w:val="clear" w:color="auto" w:fill="FFFFFF"/>
        </w:rPr>
        <w:t xml:space="preserve"> at </w:t>
      </w:r>
      <w:r w:rsidRPr="00267485">
        <w:rPr>
          <w:rFonts w:ascii="Cambria" w:hAnsi="Cambria"/>
          <w:highlight w:val="lightGray"/>
          <w:shd w:val="clear" w:color="auto" w:fill="FFFFFF"/>
        </w:rPr>
        <w:t>[facility or physician’s office]</w:t>
      </w:r>
      <w:r w:rsidRPr="00267485">
        <w:rPr>
          <w:rFonts w:ascii="Cambria" w:hAnsi="Cambria"/>
          <w:shd w:val="clear" w:color="auto" w:fill="FFFFFF"/>
        </w:rPr>
        <w:t xml:space="preserve">.  </w:t>
      </w:r>
      <w:r w:rsidR="00CF2226" w:rsidRPr="00267485">
        <w:rPr>
          <w:rFonts w:ascii="Cambria" w:hAnsi="Cambria"/>
          <w:color w:val="000000" w:themeColor="text1"/>
        </w:rPr>
        <w:t>I</w:t>
      </w:r>
      <w:r w:rsidRPr="00267485">
        <w:rPr>
          <w:rFonts w:ascii="Cambria" w:hAnsi="Cambria"/>
          <w:color w:val="000000" w:themeColor="text1"/>
        </w:rPr>
        <w:t xml:space="preserve"> recently learned that my </w:t>
      </w:r>
      <w:r w:rsidR="008B67C5" w:rsidRPr="00267485">
        <w:rPr>
          <w:rFonts w:ascii="Cambria" w:hAnsi="Cambria"/>
          <w:color w:val="000000" w:themeColor="text1"/>
          <w:highlight w:val="lightGray"/>
        </w:rPr>
        <w:t xml:space="preserve">[mother, father, </w:t>
      </w:r>
      <w:r w:rsidRPr="00267485">
        <w:rPr>
          <w:rFonts w:ascii="Cambria" w:hAnsi="Cambria"/>
          <w:color w:val="000000" w:themeColor="text1"/>
          <w:highlight w:val="lightGray"/>
        </w:rPr>
        <w:t>sister</w:t>
      </w:r>
      <w:r w:rsidR="00581A7A" w:rsidRPr="00267485">
        <w:rPr>
          <w:rFonts w:ascii="Cambria" w:hAnsi="Cambria"/>
          <w:color w:val="000000" w:themeColor="text1"/>
          <w:highlight w:val="lightGray"/>
        </w:rPr>
        <w:t>, brother</w:t>
      </w:r>
      <w:r w:rsidR="008B67C5" w:rsidRPr="00267485">
        <w:rPr>
          <w:rFonts w:ascii="Cambria" w:hAnsi="Cambria"/>
          <w:color w:val="000000" w:themeColor="text1"/>
          <w:highlight w:val="lightGray"/>
        </w:rPr>
        <w:t>…]</w:t>
      </w:r>
      <w:r w:rsidR="008B67C5" w:rsidRPr="00267485">
        <w:rPr>
          <w:rFonts w:ascii="Cambria" w:hAnsi="Cambria"/>
          <w:color w:val="000000" w:themeColor="text1"/>
        </w:rPr>
        <w:t xml:space="preserve"> carries an inherited BRCA</w:t>
      </w:r>
      <w:r w:rsidRPr="00267485">
        <w:rPr>
          <w:rFonts w:ascii="Cambria" w:hAnsi="Cambria"/>
          <w:color w:val="000000" w:themeColor="text1"/>
        </w:rPr>
        <w:t xml:space="preserve"> mutation. As a result, it was recommended that family members get tested. </w:t>
      </w:r>
    </w:p>
    <w:p w14:paraId="6B3C9B7D" w14:textId="417D1999" w:rsidR="00E3613E" w:rsidRPr="00267485" w:rsidRDefault="00812F8E" w:rsidP="003B1E30">
      <w:pPr>
        <w:pStyle w:val="NormalWeb"/>
        <w:shd w:val="clear" w:color="auto" w:fill="FFFFFF"/>
        <w:spacing w:before="0" w:beforeAutospacing="0" w:after="220" w:afterAutospacing="0"/>
        <w:rPr>
          <w:rFonts w:ascii="Cambria" w:hAnsi="Cambria"/>
          <w:color w:val="000000" w:themeColor="text1"/>
        </w:rPr>
      </w:pPr>
      <w:r w:rsidRPr="00267485">
        <w:rPr>
          <w:rFonts w:ascii="Cambria" w:hAnsi="Cambria"/>
        </w:rPr>
        <w:t>Men with BRCA mutations have up to a 40% lifetime risk for prostate cancer, which is much higher than average-risk men.</w:t>
      </w:r>
      <w:r w:rsidRPr="00267485">
        <w:rPr>
          <w:rStyle w:val="FootnoteReference"/>
          <w:rFonts w:ascii="Cambria" w:hAnsi="Cambria"/>
        </w:rPr>
        <w:footnoteReference w:id="1"/>
      </w:r>
      <w:r w:rsidR="00B837A0" w:rsidRPr="00267485">
        <w:rPr>
          <w:rFonts w:ascii="Cambria" w:hAnsi="Cambria"/>
        </w:rPr>
        <w:t xml:space="preserve"> </w:t>
      </w:r>
      <w:r w:rsidR="00B837A0" w:rsidRPr="00267485">
        <w:rPr>
          <w:rFonts w:ascii="Cambria" w:hAnsi="Cambria"/>
          <w:color w:val="000000"/>
          <w:shd w:val="clear" w:color="auto" w:fill="FFFFFF"/>
        </w:rPr>
        <w:t xml:space="preserve">The lifetime risk of developing male breast cancer for </w:t>
      </w:r>
      <w:r w:rsidR="00B837A0" w:rsidRPr="00267485">
        <w:rPr>
          <w:rStyle w:val="Emphasis"/>
          <w:rFonts w:ascii="Cambria" w:hAnsi="Cambria"/>
          <w:i w:val="0"/>
          <w:color w:val="000000"/>
          <w:shd w:val="clear" w:color="auto" w:fill="FFFFFF"/>
        </w:rPr>
        <w:t>BRCA</w:t>
      </w:r>
      <w:r w:rsidR="00B837A0" w:rsidRPr="00267485">
        <w:rPr>
          <w:rFonts w:ascii="Cambria" w:hAnsi="Cambria"/>
          <w:color w:val="000000"/>
          <w:shd w:val="clear" w:color="auto" w:fill="FFFFFF"/>
        </w:rPr>
        <w:t xml:space="preserve"> mutation carriers is estimated at up to 10%, compared with a risk of 0.1% in the general population. </w:t>
      </w:r>
      <w:r w:rsidR="00B837A0" w:rsidRPr="00267485">
        <w:rPr>
          <w:rFonts w:ascii="Cambria" w:hAnsi="Cambria"/>
        </w:rPr>
        <w:t>R</w:t>
      </w:r>
      <w:r w:rsidR="00124DB8" w:rsidRPr="00267485">
        <w:rPr>
          <w:rFonts w:ascii="Cambria" w:hAnsi="Cambria"/>
        </w:rPr>
        <w:t>e</w:t>
      </w:r>
      <w:r w:rsidR="00B837A0" w:rsidRPr="00267485">
        <w:rPr>
          <w:rFonts w:ascii="Cambria" w:hAnsi="Cambria"/>
        </w:rPr>
        <w:t>search also shows that men with these</w:t>
      </w:r>
      <w:r w:rsidR="00124DB8" w:rsidRPr="00267485">
        <w:rPr>
          <w:rFonts w:ascii="Cambria" w:hAnsi="Cambria"/>
        </w:rPr>
        <w:t xml:space="preserve"> mutations </w:t>
      </w:r>
      <w:r w:rsidR="009E1141" w:rsidRPr="00267485">
        <w:rPr>
          <w:rFonts w:ascii="Cambria" w:hAnsi="Cambria"/>
        </w:rPr>
        <w:t xml:space="preserve">also </w:t>
      </w:r>
      <w:r w:rsidR="00124DB8" w:rsidRPr="00267485">
        <w:rPr>
          <w:rFonts w:ascii="Cambria" w:hAnsi="Cambria"/>
        </w:rPr>
        <w:t xml:space="preserve">have </w:t>
      </w:r>
      <w:r w:rsidR="00124DB8" w:rsidRPr="00267485">
        <w:rPr>
          <w:rFonts w:ascii="Cambria" w:hAnsi="Cambria" w:cs="Arial"/>
          <w:color w:val="111111"/>
        </w:rPr>
        <w:t>increased risk of pancreatic cancer</w:t>
      </w:r>
      <w:r w:rsidR="005C1A72" w:rsidRPr="00267485">
        <w:rPr>
          <w:rFonts w:ascii="Cambria" w:hAnsi="Cambria" w:cs="Arial"/>
          <w:color w:val="111111"/>
        </w:rPr>
        <w:t xml:space="preserve"> </w:t>
      </w:r>
      <w:r w:rsidR="00124DB8" w:rsidRPr="00267485">
        <w:rPr>
          <w:rFonts w:ascii="Cambria" w:hAnsi="Cambria" w:cs="Arial"/>
          <w:color w:val="111111"/>
        </w:rPr>
        <w:t>and melanoma.</w:t>
      </w:r>
      <w:r w:rsidR="005C1A72" w:rsidRPr="00267485">
        <w:rPr>
          <w:rStyle w:val="FootnoteReference"/>
          <w:rFonts w:ascii="Cambria" w:hAnsi="Cambria" w:cs="Arial"/>
          <w:color w:val="111111"/>
        </w:rPr>
        <w:footnoteReference w:id="2"/>
      </w:r>
    </w:p>
    <w:p w14:paraId="0194A8EA" w14:textId="6F125B09" w:rsidR="00B837A0" w:rsidRPr="00267485" w:rsidRDefault="00B837A0" w:rsidP="00442BE6">
      <w:pPr>
        <w:spacing w:after="220" w:line="240" w:lineRule="auto"/>
        <w:rPr>
          <w:rFonts w:ascii="Cambria" w:eastAsia="Times New Roman" w:hAnsi="Cambria" w:cs="Times New Roman"/>
          <w:sz w:val="24"/>
          <w:szCs w:val="24"/>
        </w:rPr>
      </w:pPr>
      <w:r w:rsidRPr="00267485">
        <w:rPr>
          <w:rFonts w:ascii="Cambria" w:eastAsia="Times New Roman" w:hAnsi="Cambria" w:cs="Times New Roman"/>
          <w:sz w:val="24"/>
          <w:szCs w:val="24"/>
        </w:rPr>
        <w:t xml:space="preserve">There is broad consensus about the medical benefits of genetic counseling and testing to identify individuals at </w:t>
      </w:r>
      <w:r w:rsidR="003D450C" w:rsidRPr="00267485">
        <w:rPr>
          <w:rFonts w:ascii="Cambria" w:eastAsia="Times New Roman" w:hAnsi="Cambria" w:cs="Times New Roman"/>
          <w:sz w:val="24"/>
          <w:szCs w:val="24"/>
        </w:rPr>
        <w:t>increased</w:t>
      </w:r>
      <w:r w:rsidRPr="00267485">
        <w:rPr>
          <w:rFonts w:ascii="Cambria" w:eastAsia="Times New Roman" w:hAnsi="Cambria" w:cs="Times New Roman"/>
          <w:sz w:val="24"/>
          <w:szCs w:val="24"/>
        </w:rPr>
        <w:t xml:space="preserve"> risk of cancer.  The National Comprehensive Cancer Network (NCCN) is a professional organization that develops standard-of-care consensus guidelines in cancer. Its practice guidelines for “BRCA-Related Breast and/or Ovarian Cancer Syndrome” reiterate the need to identify individuals—including men—affected by hereditary cancer syndromes via genetic testing</w:t>
      </w:r>
      <w:r w:rsidR="005C1A72" w:rsidRPr="00267485">
        <w:rPr>
          <w:rFonts w:ascii="Cambria" w:eastAsia="Times New Roman" w:hAnsi="Cambria" w:cs="Times New Roman"/>
          <w:sz w:val="24"/>
          <w:szCs w:val="24"/>
        </w:rPr>
        <w:t>,</w:t>
      </w:r>
      <w:r w:rsidRPr="00267485">
        <w:rPr>
          <w:rFonts w:ascii="Cambria" w:eastAsia="Times New Roman" w:hAnsi="Cambria" w:cs="Times New Roman"/>
          <w:sz w:val="24"/>
          <w:szCs w:val="24"/>
        </w:rPr>
        <w:t xml:space="preserve"> and outline the recommended screening and preventive services for high-risk individuals.</w:t>
      </w:r>
    </w:p>
    <w:p w14:paraId="3387703A" w14:textId="4C851BC8" w:rsidR="003D450C" w:rsidRPr="00267485" w:rsidRDefault="003D450C" w:rsidP="003D450C">
      <w:pPr>
        <w:spacing w:after="220" w:line="240" w:lineRule="auto"/>
        <w:rPr>
          <w:rFonts w:ascii="Cambria" w:hAnsi="Cambria"/>
          <w:color w:val="000000" w:themeColor="text1"/>
          <w:sz w:val="24"/>
          <w:szCs w:val="24"/>
          <w:shd w:val="clear" w:color="auto" w:fill="FFFFFF"/>
        </w:rPr>
      </w:pPr>
      <w:r w:rsidRPr="00267485">
        <w:rPr>
          <w:rFonts w:ascii="Cambria" w:hAnsi="Cambria" w:cs="Times New Roman"/>
          <w:color w:val="000000" w:themeColor="text1"/>
          <w:sz w:val="24"/>
          <w:szCs w:val="24"/>
        </w:rPr>
        <w:t>The clinical value of identifying people with a BRCA mutation lies in an individual’s ability to access screening and preventive services that lower the risk of cancer, or diagnose the disease at an earlier stage when it is more easily treated.</w:t>
      </w:r>
      <w:r w:rsidR="00F91969" w:rsidRPr="00267485">
        <w:rPr>
          <w:rStyle w:val="apple-converted-space"/>
          <w:rFonts w:ascii="Cambria" w:hAnsi="Cambria" w:cs="Times New Roman"/>
          <w:color w:val="000000" w:themeColor="text1"/>
          <w:sz w:val="24"/>
          <w:szCs w:val="24"/>
        </w:rPr>
        <w:t> </w:t>
      </w:r>
      <w:r w:rsidRPr="00267485">
        <w:rPr>
          <w:rStyle w:val="apple-converted-space"/>
          <w:rFonts w:ascii="Cambria" w:hAnsi="Cambria" w:cs="Times New Roman"/>
          <w:color w:val="000000" w:themeColor="text1"/>
          <w:sz w:val="24"/>
          <w:szCs w:val="24"/>
        </w:rPr>
        <w:t>Research shows that t</w:t>
      </w:r>
      <w:r w:rsidRPr="00267485">
        <w:rPr>
          <w:rFonts w:ascii="Cambria" w:hAnsi="Cambria"/>
          <w:color w:val="000000" w:themeColor="text1"/>
          <w:sz w:val="24"/>
          <w:szCs w:val="24"/>
          <w:shd w:val="clear" w:color="auto" w:fill="FFFFFF"/>
        </w:rPr>
        <w:t>he relative risks of developing breast cancer are highest for BRCA+ men in their 30s and 40s.</w:t>
      </w:r>
      <w:r w:rsidRPr="00267485">
        <w:rPr>
          <w:rStyle w:val="FootnoteReference"/>
          <w:rFonts w:ascii="Cambria" w:hAnsi="Cambria"/>
          <w:color w:val="000000" w:themeColor="text1"/>
          <w:sz w:val="24"/>
          <w:szCs w:val="24"/>
          <w:shd w:val="clear" w:color="auto" w:fill="FFFFFF"/>
        </w:rPr>
        <w:footnoteReference w:id="3"/>
      </w:r>
      <w:r w:rsidRPr="00267485">
        <w:rPr>
          <w:rFonts w:ascii="Cambria" w:hAnsi="Cambria"/>
          <w:color w:val="000000" w:themeColor="text1"/>
          <w:sz w:val="24"/>
          <w:szCs w:val="24"/>
          <w:shd w:val="clear" w:color="auto" w:fill="FFFFFF"/>
        </w:rPr>
        <w:t xml:space="preserve">  As such, knowledge of a germline BRCA mutation is crucial in determining appropriate screening and risk management.  </w:t>
      </w:r>
    </w:p>
    <w:p w14:paraId="5CF1639D" w14:textId="52D14DB3" w:rsidR="003D450C" w:rsidRPr="00267485" w:rsidRDefault="003D450C" w:rsidP="00442BE6">
      <w:pPr>
        <w:spacing w:after="220" w:line="240" w:lineRule="auto"/>
        <w:rPr>
          <w:rFonts w:ascii="Cambria" w:hAnsi="Cambria"/>
          <w:color w:val="000000" w:themeColor="text1"/>
          <w:sz w:val="24"/>
          <w:szCs w:val="24"/>
        </w:rPr>
      </w:pPr>
      <w:r w:rsidRPr="00267485">
        <w:rPr>
          <w:rFonts w:ascii="Cambria" w:hAnsi="Cambria"/>
          <w:color w:val="000000" w:themeColor="text1"/>
          <w:sz w:val="24"/>
          <w:szCs w:val="24"/>
          <w:shd w:val="clear" w:color="auto" w:fill="FFFFFF"/>
        </w:rPr>
        <w:lastRenderedPageBreak/>
        <w:t xml:space="preserve">Similarly, </w:t>
      </w:r>
      <w:r w:rsidRPr="00267485">
        <w:rPr>
          <w:rFonts w:ascii="Cambria" w:hAnsi="Cambria"/>
          <w:color w:val="000000" w:themeColor="text1"/>
          <w:sz w:val="24"/>
          <w:szCs w:val="24"/>
        </w:rPr>
        <w:t xml:space="preserve">BRCA mutation status is recognized as an independent </w:t>
      </w:r>
      <w:r w:rsidRPr="00267485">
        <w:rPr>
          <w:rFonts w:ascii="Cambria" w:hAnsi="Cambria"/>
          <w:sz w:val="24"/>
          <w:szCs w:val="24"/>
        </w:rPr>
        <w:t xml:space="preserve">prognostic prostate cancer risk factor and marker of a more aggressive tumor and a poorer overall survival. </w:t>
      </w:r>
      <w:r w:rsidRPr="00267485">
        <w:rPr>
          <w:rFonts w:ascii="Cambria" w:hAnsi="Cambria" w:cs="Arial"/>
          <w:color w:val="000000" w:themeColor="text1"/>
          <w:sz w:val="24"/>
          <w:szCs w:val="24"/>
          <w:shd w:val="clear" w:color="auto" w:fill="FFFFFF"/>
        </w:rPr>
        <w:t>Recent research supports increased screening and use of PSA tests in men with BRCA mutations.  Preliminary results from the IMPACT study “support the use of targeted prostate-specific antigen screening based on </w:t>
      </w:r>
      <w:r w:rsidRPr="00267485">
        <w:rPr>
          <w:rFonts w:ascii="Cambria" w:hAnsi="Cambria" w:cs="Arial"/>
          <w:iCs/>
          <w:color w:val="000000" w:themeColor="text1"/>
          <w:sz w:val="24"/>
          <w:szCs w:val="24"/>
          <w:bdr w:val="none" w:sz="0" w:space="0" w:color="auto" w:frame="1"/>
          <w:shd w:val="clear" w:color="auto" w:fill="FFFFFF"/>
        </w:rPr>
        <w:t>BRCA</w:t>
      </w:r>
      <w:r w:rsidRPr="00267485">
        <w:rPr>
          <w:rFonts w:ascii="Cambria" w:hAnsi="Cambria" w:cs="Arial"/>
          <w:color w:val="000000" w:themeColor="text1"/>
          <w:sz w:val="24"/>
          <w:szCs w:val="24"/>
          <w:shd w:val="clear" w:color="auto" w:fill="FFFFFF"/>
        </w:rPr>
        <w:t> genotype and show that this yields a high proportion of aggressive disease.”</w:t>
      </w:r>
      <w:r w:rsidRPr="00267485">
        <w:rPr>
          <w:rStyle w:val="FootnoteReference"/>
          <w:rFonts w:ascii="Cambria" w:hAnsi="Cambria" w:cs="Arial"/>
          <w:color w:val="000000" w:themeColor="text1"/>
          <w:sz w:val="24"/>
          <w:szCs w:val="24"/>
          <w:shd w:val="clear" w:color="auto" w:fill="FFFFFF"/>
        </w:rPr>
        <w:footnoteReference w:id="4"/>
      </w:r>
    </w:p>
    <w:p w14:paraId="305F4DA3" w14:textId="275785A1" w:rsidR="00254552" w:rsidRPr="00267485" w:rsidRDefault="00263CC3" w:rsidP="003B1E30">
      <w:pPr>
        <w:spacing w:after="220" w:line="240" w:lineRule="auto"/>
        <w:rPr>
          <w:rFonts w:ascii="Cambria" w:eastAsia="Times New Roman" w:hAnsi="Cambria" w:cs="Times New Roman"/>
          <w:color w:val="000000" w:themeColor="text1"/>
          <w:sz w:val="24"/>
          <w:szCs w:val="24"/>
        </w:rPr>
      </w:pPr>
      <w:r w:rsidRPr="00267485">
        <w:rPr>
          <w:rFonts w:ascii="Cambria" w:eastAsia="Times New Roman" w:hAnsi="Cambria" w:cs="Times New Roman"/>
          <w:color w:val="000000" w:themeColor="text1"/>
          <w:sz w:val="24"/>
          <w:szCs w:val="24"/>
        </w:rPr>
        <w:t xml:space="preserve">Accordingly, </w:t>
      </w:r>
      <w:r w:rsidR="005F71C1" w:rsidRPr="00267485">
        <w:rPr>
          <w:rFonts w:ascii="Cambria" w:eastAsia="Times New Roman" w:hAnsi="Cambria" w:cs="Times New Roman"/>
          <w:color w:val="000000" w:themeColor="text1"/>
          <w:sz w:val="24"/>
          <w:szCs w:val="24"/>
        </w:rPr>
        <w:t xml:space="preserve">NCCN Guidelines </w:t>
      </w:r>
      <w:r w:rsidR="003D450C" w:rsidRPr="00267485">
        <w:rPr>
          <w:rFonts w:ascii="Cambria" w:eastAsia="Times New Roman" w:hAnsi="Cambria" w:cs="Times New Roman"/>
          <w:color w:val="000000" w:themeColor="text1"/>
          <w:sz w:val="24"/>
          <w:szCs w:val="24"/>
        </w:rPr>
        <w:t>state</w:t>
      </w:r>
      <w:r w:rsidR="005F71C1" w:rsidRPr="00267485">
        <w:rPr>
          <w:rFonts w:ascii="Cambria" w:eastAsia="Times New Roman" w:hAnsi="Cambria" w:cs="Times New Roman"/>
          <w:color w:val="000000" w:themeColor="text1"/>
          <w:sz w:val="24"/>
          <w:szCs w:val="24"/>
        </w:rPr>
        <w:t xml:space="preserve"> </w:t>
      </w:r>
      <w:r w:rsidR="003B1E30" w:rsidRPr="00267485">
        <w:rPr>
          <w:rFonts w:ascii="Cambria" w:eastAsia="Times New Roman" w:hAnsi="Cambria" w:cs="Times New Roman"/>
          <w:color w:val="000000" w:themeColor="text1"/>
          <w:sz w:val="24"/>
          <w:szCs w:val="24"/>
        </w:rPr>
        <w:t xml:space="preserve">that men with BRCA mutations should </w:t>
      </w:r>
      <w:r w:rsidR="006C2EF3" w:rsidRPr="00267485">
        <w:rPr>
          <w:rFonts w:ascii="Cambria" w:eastAsia="Times New Roman" w:hAnsi="Cambria" w:cs="Times New Roman"/>
          <w:color w:val="000000" w:themeColor="text1"/>
          <w:sz w:val="24"/>
          <w:szCs w:val="24"/>
        </w:rPr>
        <w:t>have an annual clinical breast exam starting at age 35</w:t>
      </w:r>
      <w:r w:rsidR="009E56C0">
        <w:rPr>
          <w:rFonts w:ascii="Cambria" w:eastAsia="Times New Roman" w:hAnsi="Cambria" w:cs="Times New Roman"/>
          <w:color w:val="000000" w:themeColor="text1"/>
          <w:sz w:val="24"/>
          <w:szCs w:val="24"/>
        </w:rPr>
        <w:t>,</w:t>
      </w:r>
      <w:r w:rsidR="006C2EF3" w:rsidRPr="00267485">
        <w:rPr>
          <w:rFonts w:ascii="Cambria" w:eastAsia="Times New Roman" w:hAnsi="Cambria" w:cs="Times New Roman"/>
          <w:color w:val="000000" w:themeColor="text1"/>
          <w:sz w:val="24"/>
          <w:szCs w:val="24"/>
        </w:rPr>
        <w:t xml:space="preserve"> </w:t>
      </w:r>
      <w:r w:rsidR="003B1E30" w:rsidRPr="00267485">
        <w:rPr>
          <w:rFonts w:ascii="Cambria" w:eastAsia="Times New Roman" w:hAnsi="Cambria" w:cs="Times New Roman"/>
          <w:color w:val="000000" w:themeColor="text1"/>
          <w:sz w:val="24"/>
          <w:szCs w:val="24"/>
        </w:rPr>
        <w:t xml:space="preserve">prostate cancer screening </w:t>
      </w:r>
      <w:r w:rsidR="006C2EF3" w:rsidRPr="00267485">
        <w:rPr>
          <w:rFonts w:ascii="Cambria" w:eastAsia="Times New Roman" w:hAnsi="Cambria" w:cs="Times New Roman"/>
          <w:color w:val="000000" w:themeColor="text1"/>
          <w:sz w:val="24"/>
          <w:szCs w:val="24"/>
        </w:rPr>
        <w:t>begin</w:t>
      </w:r>
      <w:r w:rsidR="003D450C" w:rsidRPr="00267485">
        <w:rPr>
          <w:rFonts w:ascii="Cambria" w:eastAsia="Times New Roman" w:hAnsi="Cambria" w:cs="Times New Roman"/>
          <w:color w:val="000000" w:themeColor="text1"/>
          <w:sz w:val="24"/>
          <w:szCs w:val="24"/>
        </w:rPr>
        <w:t>ning</w:t>
      </w:r>
      <w:r w:rsidR="006C2EF3" w:rsidRPr="00267485">
        <w:rPr>
          <w:rFonts w:ascii="Cambria" w:eastAsia="Times New Roman" w:hAnsi="Cambria" w:cs="Times New Roman"/>
          <w:color w:val="000000" w:themeColor="text1"/>
          <w:sz w:val="24"/>
          <w:szCs w:val="24"/>
        </w:rPr>
        <w:t xml:space="preserve"> </w:t>
      </w:r>
      <w:r w:rsidRPr="00267485">
        <w:rPr>
          <w:rFonts w:ascii="Cambria" w:eastAsia="Times New Roman" w:hAnsi="Cambria" w:cs="Times New Roman"/>
          <w:color w:val="000000" w:themeColor="text1"/>
          <w:sz w:val="24"/>
          <w:szCs w:val="24"/>
        </w:rPr>
        <w:t>at age 4</w:t>
      </w:r>
      <w:r w:rsidR="00CC7A54">
        <w:rPr>
          <w:rFonts w:ascii="Cambria" w:eastAsia="Times New Roman" w:hAnsi="Cambria" w:cs="Times New Roman"/>
          <w:color w:val="000000" w:themeColor="text1"/>
          <w:sz w:val="24"/>
          <w:szCs w:val="24"/>
        </w:rPr>
        <w:t>0</w:t>
      </w:r>
      <w:r w:rsidR="009E56C0">
        <w:rPr>
          <w:rFonts w:ascii="Cambria" w:eastAsia="Times New Roman" w:hAnsi="Cambria" w:cs="Times New Roman"/>
          <w:color w:val="000000" w:themeColor="text1"/>
          <w:sz w:val="24"/>
          <w:szCs w:val="24"/>
        </w:rPr>
        <w:t xml:space="preserve">, and other cancer screenings as appropriate </w:t>
      </w:r>
      <w:r w:rsidR="00254552" w:rsidRPr="00267485">
        <w:rPr>
          <w:rFonts w:ascii="Cambria" w:eastAsia="Times New Roman" w:hAnsi="Cambria" w:cs="Times New Roman"/>
          <w:color w:val="000000" w:themeColor="text1"/>
          <w:sz w:val="24"/>
          <w:szCs w:val="24"/>
        </w:rPr>
        <w:t>[Exhibits A and B]</w:t>
      </w:r>
      <w:r w:rsidR="003B1E30" w:rsidRPr="00267485">
        <w:rPr>
          <w:rFonts w:ascii="Cambria" w:eastAsia="Times New Roman" w:hAnsi="Cambria" w:cs="Times New Roman"/>
          <w:color w:val="000000" w:themeColor="text1"/>
          <w:sz w:val="24"/>
          <w:szCs w:val="24"/>
        </w:rPr>
        <w:t>.</w:t>
      </w:r>
      <w:r w:rsidR="00254552" w:rsidRPr="00267485">
        <w:rPr>
          <w:rFonts w:ascii="Cambria" w:eastAsia="Times New Roman" w:hAnsi="Cambria" w:cs="Times New Roman"/>
          <w:color w:val="000000" w:themeColor="text1"/>
          <w:sz w:val="24"/>
          <w:szCs w:val="24"/>
        </w:rPr>
        <w:t xml:space="preserve"> </w:t>
      </w:r>
      <w:r w:rsidR="006C2EF3" w:rsidRPr="00267485">
        <w:rPr>
          <w:rFonts w:ascii="Cambria" w:eastAsia="Times New Roman" w:hAnsi="Cambria" w:cs="Times New Roman"/>
          <w:color w:val="000000" w:themeColor="text1"/>
          <w:sz w:val="24"/>
          <w:szCs w:val="24"/>
        </w:rPr>
        <w:t xml:space="preserve"> </w:t>
      </w:r>
      <w:r w:rsidR="003D450C" w:rsidRPr="00267485">
        <w:rPr>
          <w:rFonts w:ascii="Cambria" w:eastAsia="Times New Roman" w:hAnsi="Cambria" w:cs="Times New Roman"/>
          <w:color w:val="000000" w:themeColor="text1"/>
          <w:sz w:val="24"/>
          <w:szCs w:val="24"/>
        </w:rPr>
        <w:t xml:space="preserve">An expert consensus conference convened in 2017 </w:t>
      </w:r>
      <w:r w:rsidR="00100ACC" w:rsidRPr="00267485">
        <w:rPr>
          <w:rFonts w:ascii="Cambria" w:eastAsia="Times New Roman" w:hAnsi="Cambria" w:cs="Times New Roman"/>
          <w:color w:val="000000" w:themeColor="text1"/>
          <w:sz w:val="24"/>
          <w:szCs w:val="24"/>
        </w:rPr>
        <w:t xml:space="preserve">issued </w:t>
      </w:r>
      <w:r w:rsidR="00F91969" w:rsidRPr="00267485">
        <w:rPr>
          <w:rFonts w:ascii="Cambria" w:eastAsia="Times New Roman" w:hAnsi="Cambria" w:cs="Times New Roman"/>
          <w:color w:val="000000" w:themeColor="text1"/>
          <w:sz w:val="24"/>
          <w:szCs w:val="24"/>
        </w:rPr>
        <w:t>guidelines</w:t>
      </w:r>
      <w:r w:rsidR="00100ACC" w:rsidRPr="00267485">
        <w:rPr>
          <w:rFonts w:ascii="Cambria" w:eastAsia="Times New Roman" w:hAnsi="Cambria" w:cs="Times New Roman"/>
          <w:color w:val="000000" w:themeColor="text1"/>
          <w:sz w:val="24"/>
          <w:szCs w:val="24"/>
        </w:rPr>
        <w:t xml:space="preserve"> </w:t>
      </w:r>
      <w:r w:rsidR="003D450C" w:rsidRPr="00267485">
        <w:rPr>
          <w:rFonts w:ascii="Cambria" w:eastAsia="Times New Roman" w:hAnsi="Cambria" w:cs="Times New Roman"/>
          <w:color w:val="000000" w:themeColor="text1"/>
          <w:sz w:val="24"/>
          <w:szCs w:val="24"/>
        </w:rPr>
        <w:t>support</w:t>
      </w:r>
      <w:r w:rsidR="00100ACC" w:rsidRPr="00267485">
        <w:rPr>
          <w:rFonts w:ascii="Cambria" w:eastAsia="Times New Roman" w:hAnsi="Cambria" w:cs="Times New Roman"/>
          <w:color w:val="000000" w:themeColor="text1"/>
          <w:sz w:val="24"/>
          <w:szCs w:val="24"/>
        </w:rPr>
        <w:t>ing</w:t>
      </w:r>
      <w:r w:rsidR="003D450C" w:rsidRPr="00267485">
        <w:rPr>
          <w:rFonts w:ascii="Cambria" w:eastAsia="Times New Roman" w:hAnsi="Cambria" w:cs="Times New Roman"/>
          <w:color w:val="000000" w:themeColor="text1"/>
          <w:sz w:val="24"/>
          <w:szCs w:val="24"/>
        </w:rPr>
        <w:t xml:space="preserve"> BRCA testing in men and </w:t>
      </w:r>
      <w:r w:rsidR="003D450C" w:rsidRPr="00267485">
        <w:rPr>
          <w:rFonts w:ascii="Cambria" w:hAnsi="Cambria"/>
          <w:color w:val="333638"/>
          <w:sz w:val="24"/>
          <w:szCs w:val="24"/>
          <w:shd w:val="clear" w:color="auto" w:fill="FFFFFF"/>
        </w:rPr>
        <w:t>recommends that those with BRCA2 mutations have a “b</w:t>
      </w:r>
      <w:r w:rsidR="003D450C" w:rsidRPr="00267485">
        <w:rPr>
          <w:rFonts w:ascii="Cambria" w:hAnsi="Cambria"/>
          <w:color w:val="000000"/>
          <w:sz w:val="24"/>
          <w:szCs w:val="24"/>
          <w:shd w:val="clear" w:color="auto" w:fill="FFFFFF"/>
        </w:rPr>
        <w:t>aseline PSA at age 40 years or 10 years prior to youngest PCA diagnosed in family”</w:t>
      </w:r>
      <w:r w:rsidR="003D450C" w:rsidRPr="00267485">
        <w:rPr>
          <w:rFonts w:ascii="Cambria" w:hAnsi="Cambria"/>
          <w:color w:val="333638"/>
          <w:sz w:val="24"/>
          <w:szCs w:val="24"/>
          <w:shd w:val="clear" w:color="auto" w:fill="FFFFFF"/>
        </w:rPr>
        <w:t xml:space="preserve"> followed by yearly screening.</w:t>
      </w:r>
      <w:r w:rsidR="003D450C" w:rsidRPr="00267485">
        <w:rPr>
          <w:rStyle w:val="FootnoteReference"/>
          <w:rFonts w:ascii="Cambria" w:hAnsi="Cambria"/>
          <w:color w:val="333638"/>
          <w:sz w:val="24"/>
          <w:szCs w:val="24"/>
          <w:shd w:val="clear" w:color="auto" w:fill="FFFFFF"/>
        </w:rPr>
        <w:footnoteReference w:id="5"/>
      </w:r>
      <w:r w:rsidR="009E56C0" w:rsidRPr="009E56C0">
        <w:rPr>
          <w:rFonts w:ascii="Cambria" w:hAnsi="Cambria"/>
          <w:color w:val="333638"/>
          <w:sz w:val="24"/>
          <w:szCs w:val="24"/>
          <w:shd w:val="clear" w:color="auto" w:fill="FFFFFF"/>
          <w:vertAlign w:val="superscript"/>
        </w:rPr>
        <w:t>,</w:t>
      </w:r>
      <w:r w:rsidR="00100ACC" w:rsidRPr="00267485">
        <w:rPr>
          <w:rStyle w:val="FootnoteReference"/>
          <w:rFonts w:ascii="Cambria" w:hAnsi="Cambria"/>
          <w:color w:val="333638"/>
          <w:sz w:val="24"/>
          <w:szCs w:val="24"/>
          <w:shd w:val="clear" w:color="auto" w:fill="FFFFFF"/>
        </w:rPr>
        <w:footnoteReference w:id="6"/>
      </w:r>
      <w:r w:rsidR="003D450C" w:rsidRPr="00267485">
        <w:rPr>
          <w:rFonts w:ascii="Cambria" w:eastAsia="Times New Roman" w:hAnsi="Cambria" w:cs="Times New Roman"/>
          <w:color w:val="000000" w:themeColor="text1"/>
          <w:sz w:val="24"/>
          <w:szCs w:val="24"/>
        </w:rPr>
        <w:t xml:space="preserve">  </w:t>
      </w:r>
      <w:r w:rsidR="00C45A23" w:rsidRPr="00267485">
        <w:rPr>
          <w:rFonts w:ascii="Cambria" w:eastAsia="Times New Roman" w:hAnsi="Cambria" w:cs="Times New Roman"/>
          <w:color w:val="000000" w:themeColor="text1"/>
          <w:sz w:val="24"/>
          <w:szCs w:val="24"/>
        </w:rPr>
        <w:t>The American Cancer Society recommends prostate cancer screening starting at age 40 for men in the highest risk category, such as myself</w:t>
      </w:r>
      <w:r w:rsidR="00254552" w:rsidRPr="00267485">
        <w:rPr>
          <w:rFonts w:ascii="Cambria" w:eastAsia="Times New Roman" w:hAnsi="Cambria" w:cs="Times New Roman"/>
          <w:color w:val="000000" w:themeColor="text1"/>
          <w:sz w:val="24"/>
          <w:szCs w:val="24"/>
        </w:rPr>
        <w:t xml:space="preserve"> [Exhibit C]</w:t>
      </w:r>
      <w:r w:rsidR="00C45A23" w:rsidRPr="00267485">
        <w:rPr>
          <w:rFonts w:ascii="Cambria" w:eastAsia="Times New Roman" w:hAnsi="Cambria" w:cs="Times New Roman"/>
          <w:color w:val="000000" w:themeColor="text1"/>
          <w:sz w:val="24"/>
          <w:szCs w:val="24"/>
        </w:rPr>
        <w:t>.</w:t>
      </w:r>
      <w:r w:rsidR="0001413E" w:rsidRPr="00267485">
        <w:rPr>
          <w:rFonts w:ascii="Cambria" w:eastAsia="Times New Roman" w:hAnsi="Cambria" w:cs="Times New Roman"/>
          <w:color w:val="000000" w:themeColor="text1"/>
          <w:sz w:val="24"/>
          <w:szCs w:val="24"/>
        </w:rPr>
        <w:t xml:space="preserve"> </w:t>
      </w:r>
    </w:p>
    <w:p w14:paraId="787795E4" w14:textId="26E11411" w:rsidR="00F40748" w:rsidRPr="00267485" w:rsidRDefault="00F84A09" w:rsidP="003B1E30">
      <w:pPr>
        <w:spacing w:after="220" w:line="240" w:lineRule="auto"/>
        <w:rPr>
          <w:rStyle w:val="apple-converted-space"/>
          <w:rFonts w:ascii="Cambria" w:hAnsi="Cambria" w:cs="Times New Roman"/>
          <w:color w:val="000000" w:themeColor="text1"/>
          <w:sz w:val="24"/>
          <w:szCs w:val="24"/>
          <w:shd w:val="clear" w:color="auto" w:fill="FFFFFF"/>
        </w:rPr>
      </w:pPr>
      <w:r w:rsidRPr="00267485">
        <w:rPr>
          <w:rFonts w:ascii="Cambria" w:eastAsia="Times New Roman" w:hAnsi="Cambria" w:cs="Times New Roman"/>
          <w:color w:val="000000" w:themeColor="text1"/>
          <w:sz w:val="24"/>
          <w:szCs w:val="24"/>
        </w:rPr>
        <w:t>Numerous</w:t>
      </w:r>
      <w:r w:rsidR="00263CC3" w:rsidRPr="00267485">
        <w:rPr>
          <w:rFonts w:ascii="Cambria" w:eastAsia="Times New Roman" w:hAnsi="Cambria" w:cs="Times New Roman"/>
          <w:color w:val="000000" w:themeColor="text1"/>
          <w:sz w:val="24"/>
          <w:szCs w:val="24"/>
        </w:rPr>
        <w:t xml:space="preserve"> group health insurance plans</w:t>
      </w:r>
      <w:r w:rsidRPr="00267485">
        <w:rPr>
          <w:rFonts w:ascii="Cambria" w:eastAsia="Times New Roman" w:hAnsi="Cambria" w:cs="Times New Roman"/>
          <w:color w:val="000000" w:themeColor="text1"/>
          <w:sz w:val="24"/>
          <w:szCs w:val="24"/>
        </w:rPr>
        <w:t xml:space="preserve"> recognize the value of BRCA testing in</w:t>
      </w:r>
      <w:r w:rsidR="008B67C5" w:rsidRPr="00267485">
        <w:rPr>
          <w:rFonts w:ascii="Cambria" w:eastAsia="Times New Roman" w:hAnsi="Cambria" w:cs="Times New Roman"/>
          <w:color w:val="000000" w:themeColor="text1"/>
          <w:sz w:val="24"/>
          <w:szCs w:val="24"/>
        </w:rPr>
        <w:t xml:space="preserve"> unaffected</w:t>
      </w:r>
      <w:r w:rsidRPr="00267485">
        <w:rPr>
          <w:rFonts w:ascii="Cambria" w:eastAsia="Times New Roman" w:hAnsi="Cambria" w:cs="Times New Roman"/>
          <w:color w:val="000000" w:themeColor="text1"/>
          <w:sz w:val="24"/>
          <w:szCs w:val="24"/>
        </w:rPr>
        <w:t xml:space="preserve"> men with a first- or second-degree relative with a known BRCA mutation</w:t>
      </w:r>
      <w:r w:rsidR="00F376A2" w:rsidRPr="00267485">
        <w:rPr>
          <w:rFonts w:ascii="Cambria" w:eastAsia="Times New Roman" w:hAnsi="Cambria" w:cs="Times New Roman"/>
          <w:color w:val="000000" w:themeColor="text1"/>
          <w:sz w:val="24"/>
          <w:szCs w:val="24"/>
        </w:rPr>
        <w:t xml:space="preserve"> [Exhibit D]</w:t>
      </w:r>
      <w:r w:rsidR="00291F8F" w:rsidRPr="00267485">
        <w:rPr>
          <w:rFonts w:ascii="Cambria" w:eastAsia="Times New Roman" w:hAnsi="Cambria" w:cs="Times New Roman"/>
          <w:color w:val="000000" w:themeColor="text1"/>
          <w:sz w:val="24"/>
          <w:szCs w:val="24"/>
        </w:rPr>
        <w:t>.</w:t>
      </w:r>
      <w:r w:rsidR="001D0D76" w:rsidRPr="00267485">
        <w:rPr>
          <w:rStyle w:val="apple-converted-space"/>
          <w:rFonts w:ascii="Cambria" w:hAnsi="Cambria" w:cs="Times New Roman"/>
          <w:color w:val="000000" w:themeColor="text1"/>
          <w:sz w:val="24"/>
          <w:szCs w:val="24"/>
          <w:shd w:val="clear" w:color="auto" w:fill="FFFFFF"/>
        </w:rPr>
        <w:t xml:space="preserve"> </w:t>
      </w:r>
      <w:r w:rsidR="007E65B6" w:rsidRPr="00267485">
        <w:rPr>
          <w:rStyle w:val="apple-converted-space"/>
          <w:rFonts w:ascii="Cambria" w:hAnsi="Cambria" w:cs="Times New Roman"/>
          <w:color w:val="000000" w:themeColor="text1"/>
          <w:sz w:val="24"/>
          <w:szCs w:val="24"/>
          <w:shd w:val="clear" w:color="auto" w:fill="FFFFFF"/>
        </w:rPr>
        <w:t xml:space="preserve"> </w:t>
      </w:r>
      <w:r w:rsidR="00F91969" w:rsidRPr="00267485">
        <w:rPr>
          <w:rStyle w:val="apple-converted-space"/>
          <w:rFonts w:ascii="Cambria" w:hAnsi="Cambria" w:cs="Times New Roman"/>
          <w:color w:val="000000" w:themeColor="text1"/>
          <w:sz w:val="24"/>
          <w:szCs w:val="24"/>
          <w:shd w:val="clear" w:color="auto" w:fill="FFFFFF"/>
        </w:rPr>
        <w:t>Clinical g</w:t>
      </w:r>
      <w:r w:rsidRPr="00267485">
        <w:rPr>
          <w:rStyle w:val="apple-converted-space"/>
          <w:rFonts w:ascii="Cambria" w:hAnsi="Cambria" w:cs="Times New Roman"/>
          <w:color w:val="000000" w:themeColor="text1"/>
          <w:sz w:val="24"/>
          <w:szCs w:val="24"/>
          <w:shd w:val="clear" w:color="auto" w:fill="FFFFFF"/>
        </w:rPr>
        <w:t>uidelines and evidence from the NCCN</w:t>
      </w:r>
      <w:r w:rsidR="008B67C5" w:rsidRPr="00267485">
        <w:rPr>
          <w:rStyle w:val="apple-converted-space"/>
          <w:rFonts w:ascii="Cambria" w:hAnsi="Cambria" w:cs="Times New Roman"/>
          <w:color w:val="000000" w:themeColor="text1"/>
          <w:sz w:val="24"/>
          <w:szCs w:val="24"/>
          <w:shd w:val="clear" w:color="auto" w:fill="FFFFFF"/>
        </w:rPr>
        <w:t>,</w:t>
      </w:r>
      <w:r w:rsidRPr="00267485">
        <w:rPr>
          <w:rStyle w:val="apple-converted-space"/>
          <w:rFonts w:ascii="Cambria" w:hAnsi="Cambria" w:cs="Times New Roman"/>
          <w:color w:val="000000" w:themeColor="text1"/>
          <w:sz w:val="24"/>
          <w:szCs w:val="24"/>
          <w:shd w:val="clear" w:color="auto" w:fill="FFFFFF"/>
        </w:rPr>
        <w:t xml:space="preserve"> </w:t>
      </w:r>
      <w:r w:rsidR="00100ACC" w:rsidRPr="00267485">
        <w:rPr>
          <w:rStyle w:val="apple-converted-space"/>
          <w:rFonts w:ascii="Cambria" w:hAnsi="Cambria" w:cs="Times New Roman"/>
          <w:color w:val="000000" w:themeColor="text1"/>
          <w:sz w:val="24"/>
          <w:szCs w:val="24"/>
          <w:shd w:val="clear" w:color="auto" w:fill="FFFFFF"/>
        </w:rPr>
        <w:t xml:space="preserve">American Urological Association, </w:t>
      </w:r>
      <w:r w:rsidRPr="00267485">
        <w:rPr>
          <w:rStyle w:val="apple-converted-space"/>
          <w:rFonts w:ascii="Cambria" w:hAnsi="Cambria" w:cs="Times New Roman"/>
          <w:color w:val="000000" w:themeColor="text1"/>
          <w:sz w:val="24"/>
          <w:szCs w:val="24"/>
          <w:shd w:val="clear" w:color="auto" w:fill="FFFFFF"/>
        </w:rPr>
        <w:t>National Society of Genetic Counselors</w:t>
      </w:r>
      <w:r w:rsidR="00F40748" w:rsidRPr="00267485">
        <w:rPr>
          <w:rStyle w:val="apple-converted-space"/>
          <w:rFonts w:ascii="Cambria" w:hAnsi="Cambria" w:cs="Times New Roman"/>
          <w:color w:val="000000" w:themeColor="text1"/>
          <w:sz w:val="24"/>
          <w:szCs w:val="24"/>
          <w:shd w:val="clear" w:color="auto" w:fill="FFFFFF"/>
        </w:rPr>
        <w:t xml:space="preserve">, </w:t>
      </w:r>
      <w:r w:rsidR="00581A7A" w:rsidRPr="00267485">
        <w:rPr>
          <w:rStyle w:val="apple-converted-space"/>
          <w:rFonts w:ascii="Cambria" w:hAnsi="Cambria" w:cs="Times New Roman"/>
          <w:color w:val="000000" w:themeColor="text1"/>
          <w:sz w:val="24"/>
          <w:szCs w:val="24"/>
          <w:shd w:val="clear" w:color="auto" w:fill="FFFFFF"/>
        </w:rPr>
        <w:t xml:space="preserve">and other professional organizations </w:t>
      </w:r>
      <w:r w:rsidR="00F40748" w:rsidRPr="00267485">
        <w:rPr>
          <w:rStyle w:val="apple-converted-space"/>
          <w:rFonts w:ascii="Cambria" w:hAnsi="Cambria" w:cs="Times New Roman"/>
          <w:color w:val="000000" w:themeColor="text1"/>
          <w:sz w:val="24"/>
          <w:szCs w:val="24"/>
          <w:shd w:val="clear" w:color="auto" w:fill="FFFFFF"/>
        </w:rPr>
        <w:t xml:space="preserve">advocate for testing unaffected men with a known mutation in the family. </w:t>
      </w:r>
      <w:r w:rsidR="00263CC3" w:rsidRPr="00267485">
        <w:rPr>
          <w:rStyle w:val="apple-converted-space"/>
          <w:rFonts w:ascii="Cambria" w:hAnsi="Cambria" w:cs="Times New Roman"/>
          <w:color w:val="000000" w:themeColor="text1"/>
          <w:sz w:val="24"/>
          <w:szCs w:val="24"/>
          <w:shd w:val="clear" w:color="auto" w:fill="FFFFFF"/>
        </w:rPr>
        <w:t xml:space="preserve"> </w:t>
      </w:r>
    </w:p>
    <w:p w14:paraId="677A07C7" w14:textId="4CCE1FAF" w:rsidR="00D9376A" w:rsidRPr="00267485" w:rsidRDefault="001D0D76" w:rsidP="003B1E30">
      <w:pPr>
        <w:spacing w:after="220" w:line="240" w:lineRule="auto"/>
        <w:rPr>
          <w:rFonts w:ascii="Cambria" w:eastAsia="Times New Roman" w:hAnsi="Cambria" w:cs="Times New Roman"/>
          <w:sz w:val="24"/>
          <w:szCs w:val="24"/>
        </w:rPr>
      </w:pPr>
      <w:r w:rsidRPr="00267485">
        <w:rPr>
          <w:rFonts w:ascii="Cambria" w:eastAsia="Times New Roman" w:hAnsi="Cambria" w:cs="Times New Roman"/>
          <w:sz w:val="24"/>
          <w:szCs w:val="24"/>
        </w:rPr>
        <w:t xml:space="preserve">I </w:t>
      </w:r>
      <w:r w:rsidR="00832CD4" w:rsidRPr="00267485">
        <w:rPr>
          <w:rFonts w:ascii="Cambria" w:eastAsia="Times New Roman" w:hAnsi="Cambria" w:cs="Times New Roman"/>
          <w:sz w:val="24"/>
          <w:szCs w:val="24"/>
        </w:rPr>
        <w:t xml:space="preserve">respectfully </w:t>
      </w:r>
      <w:r w:rsidR="0041051A" w:rsidRPr="00267485">
        <w:rPr>
          <w:rFonts w:ascii="Cambria" w:eastAsia="Times New Roman" w:hAnsi="Cambria" w:cs="Times New Roman"/>
          <w:sz w:val="24"/>
          <w:szCs w:val="24"/>
        </w:rPr>
        <w:t>request</w:t>
      </w:r>
      <w:r w:rsidR="00832CD4" w:rsidRPr="00267485">
        <w:rPr>
          <w:rFonts w:ascii="Cambria" w:eastAsia="Times New Roman" w:hAnsi="Cambria" w:cs="Times New Roman"/>
          <w:sz w:val="24"/>
          <w:szCs w:val="24"/>
        </w:rPr>
        <w:t xml:space="preserve"> that you </w:t>
      </w:r>
      <w:r w:rsidR="00263CC3" w:rsidRPr="00267485">
        <w:rPr>
          <w:rFonts w:ascii="Cambria" w:eastAsia="Times New Roman" w:hAnsi="Cambria" w:cs="Times New Roman"/>
          <w:sz w:val="24"/>
          <w:szCs w:val="24"/>
        </w:rPr>
        <w:t>approve reimbursement for my BRCA</w:t>
      </w:r>
      <w:r w:rsidR="00A50357" w:rsidRPr="00267485">
        <w:rPr>
          <w:rFonts w:ascii="Cambria" w:eastAsia="Times New Roman" w:hAnsi="Cambria" w:cs="Times New Roman"/>
          <w:sz w:val="24"/>
          <w:szCs w:val="24"/>
        </w:rPr>
        <w:t xml:space="preserve"> </w:t>
      </w:r>
      <w:r w:rsidR="00F91969" w:rsidRPr="00267485">
        <w:rPr>
          <w:rFonts w:ascii="Cambria" w:hAnsi="Cambria"/>
          <w:sz w:val="24"/>
          <w:szCs w:val="24"/>
          <w:highlight w:val="lightGray"/>
          <w:shd w:val="clear" w:color="auto" w:fill="FFFFFF"/>
        </w:rPr>
        <w:t>[counseling and/or testing]</w:t>
      </w:r>
      <w:r w:rsidRPr="00267485">
        <w:rPr>
          <w:rFonts w:ascii="Cambria" w:eastAsia="Times New Roman" w:hAnsi="Cambria" w:cs="Times New Roman"/>
          <w:sz w:val="24"/>
          <w:szCs w:val="24"/>
        </w:rPr>
        <w:t xml:space="preserve">. </w:t>
      </w:r>
      <w:r w:rsidR="00D9376A" w:rsidRPr="00267485">
        <w:rPr>
          <w:rFonts w:ascii="Cambria" w:hAnsi="Cambria" w:cs="Times New Roman"/>
          <w:color w:val="000000" w:themeColor="text1"/>
          <w:sz w:val="24"/>
          <w:szCs w:val="24"/>
        </w:rPr>
        <w:t xml:space="preserve">Thank you for your consideration. Your prompt attention to this </w:t>
      </w:r>
      <w:r w:rsidR="00F91969" w:rsidRPr="00267485">
        <w:rPr>
          <w:rFonts w:ascii="Cambria" w:hAnsi="Cambria" w:cs="Times New Roman"/>
          <w:color w:val="000000" w:themeColor="text1"/>
          <w:sz w:val="24"/>
          <w:szCs w:val="24"/>
        </w:rPr>
        <w:t>matter</w:t>
      </w:r>
      <w:r w:rsidR="00D9376A" w:rsidRPr="00267485">
        <w:rPr>
          <w:rFonts w:ascii="Cambria" w:hAnsi="Cambria" w:cs="Times New Roman"/>
          <w:color w:val="000000" w:themeColor="text1"/>
          <w:sz w:val="24"/>
          <w:szCs w:val="24"/>
        </w:rPr>
        <w:t xml:space="preserve"> is greatly appreciated.</w:t>
      </w:r>
    </w:p>
    <w:p w14:paraId="37FE5D95" w14:textId="77777777" w:rsidR="00D9376A" w:rsidRPr="00267485" w:rsidRDefault="00D9376A" w:rsidP="003B1E30">
      <w:pPr>
        <w:spacing w:after="220" w:line="240" w:lineRule="auto"/>
        <w:rPr>
          <w:rFonts w:ascii="Cambria" w:hAnsi="Cambria" w:cs="Times New Roman"/>
          <w:color w:val="000000" w:themeColor="text1"/>
          <w:sz w:val="24"/>
          <w:szCs w:val="24"/>
        </w:rPr>
      </w:pPr>
      <w:r w:rsidRPr="00267485">
        <w:rPr>
          <w:rFonts w:ascii="Cambria" w:hAnsi="Cambria" w:cs="Times New Roman"/>
          <w:color w:val="000000" w:themeColor="text1"/>
          <w:sz w:val="24"/>
          <w:szCs w:val="24"/>
        </w:rPr>
        <w:t>Sincerely,</w:t>
      </w:r>
    </w:p>
    <w:p w14:paraId="4ED2729D" w14:textId="5653F8C9" w:rsidR="00D143EA" w:rsidRPr="00267485" w:rsidRDefault="005F5D17" w:rsidP="00996010">
      <w:pPr>
        <w:shd w:val="clear" w:color="auto" w:fill="FFFFFF"/>
        <w:spacing w:after="220" w:line="240" w:lineRule="auto"/>
        <w:textAlignment w:val="baseline"/>
        <w:rPr>
          <w:rFonts w:ascii="Cambria" w:eastAsia="Times New Roman" w:hAnsi="Cambria" w:cs="Times New Roman"/>
          <w:sz w:val="24"/>
          <w:szCs w:val="24"/>
        </w:rPr>
      </w:pPr>
      <w:r w:rsidRPr="00267485">
        <w:rPr>
          <w:rFonts w:ascii="Cambria" w:hAnsi="Cambria" w:cs="Times New Roman"/>
          <w:sz w:val="24"/>
          <w:szCs w:val="24"/>
          <w:highlight w:val="lightGray"/>
          <w:shd w:val="clear" w:color="auto" w:fill="FFFFFF"/>
        </w:rPr>
        <w:t>[Signature]</w:t>
      </w:r>
    </w:p>
    <w:p w14:paraId="44E4EB5B" w14:textId="65804816" w:rsidR="00CD2332" w:rsidRDefault="00CD2332" w:rsidP="00D143EA">
      <w:pPr>
        <w:shd w:val="clear" w:color="auto" w:fill="FFFFFF"/>
        <w:spacing w:after="360" w:line="240" w:lineRule="auto"/>
        <w:textAlignment w:val="baseline"/>
        <w:rPr>
          <w:rFonts w:ascii="Cambria" w:hAnsi="Cambria"/>
          <w:b/>
          <w:noProof/>
          <w:sz w:val="24"/>
          <w:szCs w:val="24"/>
        </w:rPr>
      </w:pPr>
    </w:p>
    <w:p w14:paraId="4C3C6B15" w14:textId="40AB50D6" w:rsidR="00CD2332" w:rsidRDefault="00CD2332">
      <w:pPr>
        <w:rPr>
          <w:rFonts w:ascii="Cambria" w:hAnsi="Cambria"/>
          <w:b/>
          <w:noProof/>
          <w:sz w:val="24"/>
          <w:szCs w:val="24"/>
        </w:rPr>
      </w:pPr>
      <w:r>
        <w:rPr>
          <w:rFonts w:ascii="Cambria" w:hAnsi="Cambria"/>
          <w:b/>
          <w:noProof/>
          <w:sz w:val="24"/>
          <w:szCs w:val="24"/>
        </w:rPr>
        <w:br w:type="page"/>
      </w:r>
    </w:p>
    <w:p w14:paraId="334B08C7" w14:textId="1C9FCC0B" w:rsidR="00B33E04" w:rsidRDefault="00F376A2" w:rsidP="00B33E04">
      <w:pPr>
        <w:shd w:val="clear" w:color="auto" w:fill="FFFFFF"/>
        <w:spacing w:after="360" w:line="240" w:lineRule="auto"/>
        <w:textAlignment w:val="baseline"/>
        <w:rPr>
          <w:rFonts w:ascii="Cambria" w:hAnsi="Cambria"/>
          <w:b/>
          <w:noProof/>
          <w:sz w:val="24"/>
          <w:szCs w:val="24"/>
        </w:rPr>
      </w:pPr>
      <w:r w:rsidRPr="00913168">
        <w:rPr>
          <w:rFonts w:ascii="Cambria" w:hAnsi="Cambria"/>
          <w:b/>
          <w:noProof/>
          <w:sz w:val="24"/>
          <w:szCs w:val="24"/>
        </w:rPr>
        <w:lastRenderedPageBreak/>
        <w:t xml:space="preserve"> </w:t>
      </w:r>
      <w:r w:rsidR="00B33E04" w:rsidRPr="00913168">
        <w:rPr>
          <w:rFonts w:ascii="Cambria" w:hAnsi="Cambria"/>
          <w:b/>
          <w:noProof/>
          <w:sz w:val="24"/>
          <w:szCs w:val="24"/>
        </w:rPr>
        <w:t xml:space="preserve">Exhibit </w:t>
      </w:r>
      <w:r w:rsidR="006C2EF3">
        <w:rPr>
          <w:rFonts w:ascii="Cambria" w:hAnsi="Cambria"/>
          <w:b/>
          <w:noProof/>
          <w:sz w:val="24"/>
          <w:szCs w:val="24"/>
        </w:rPr>
        <w:t>A</w:t>
      </w:r>
    </w:p>
    <w:p w14:paraId="38DD93D8" w14:textId="7D5C934C" w:rsidR="003A08B7" w:rsidRDefault="00B81CC3" w:rsidP="00A67EC6">
      <w:pPr>
        <w:jc w:val="center"/>
        <w:rPr>
          <w:rFonts w:ascii="Cambria" w:hAnsi="Cambria"/>
          <w:b/>
          <w:noProof/>
          <w:sz w:val="24"/>
          <w:szCs w:val="24"/>
        </w:rPr>
      </w:pPr>
      <w:r w:rsidRPr="00B81CC3">
        <w:rPr>
          <w:rFonts w:ascii="Cambria" w:hAnsi="Cambria"/>
          <w:b/>
          <w:noProof/>
          <w:sz w:val="24"/>
          <w:szCs w:val="24"/>
        </w:rPr>
        <w:drawing>
          <wp:inline distT="0" distB="0" distL="0" distR="0" wp14:anchorId="638BB934" wp14:editId="5FDEEB9A">
            <wp:extent cx="7882075" cy="4616403"/>
            <wp:effectExtent l="0" t="5398" r="0" b="0"/>
            <wp:docPr id="5" name="Picture 5"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10;&#10;Description automatically generated"/>
                    <pic:cNvPicPr/>
                  </pic:nvPicPr>
                  <pic:blipFill>
                    <a:blip r:embed="rId8"/>
                    <a:stretch>
                      <a:fillRect/>
                    </a:stretch>
                  </pic:blipFill>
                  <pic:spPr>
                    <a:xfrm rot="16200000">
                      <a:off x="0" y="0"/>
                      <a:ext cx="7896409" cy="4624798"/>
                    </a:xfrm>
                    <a:prstGeom prst="rect">
                      <a:avLst/>
                    </a:prstGeom>
                  </pic:spPr>
                </pic:pic>
              </a:graphicData>
            </a:graphic>
          </wp:inline>
        </w:drawing>
      </w:r>
    </w:p>
    <w:p w14:paraId="5494E2E1" w14:textId="0E43D659" w:rsidR="003A08B7" w:rsidRDefault="003A08B7" w:rsidP="005C428C">
      <w:pPr>
        <w:shd w:val="clear" w:color="auto" w:fill="FFFFFF"/>
        <w:spacing w:after="240" w:line="240" w:lineRule="auto"/>
        <w:textAlignment w:val="baseline"/>
        <w:rPr>
          <w:rFonts w:ascii="Cambria" w:hAnsi="Cambria"/>
          <w:b/>
          <w:noProof/>
          <w:sz w:val="24"/>
          <w:szCs w:val="24"/>
        </w:rPr>
      </w:pPr>
      <w:r w:rsidRPr="00913168">
        <w:rPr>
          <w:rFonts w:ascii="Cambria" w:hAnsi="Cambria"/>
          <w:b/>
          <w:noProof/>
          <w:sz w:val="24"/>
          <w:szCs w:val="24"/>
        </w:rPr>
        <w:t>Exhibit</w:t>
      </w:r>
      <w:r w:rsidR="006C2EF3">
        <w:rPr>
          <w:rFonts w:ascii="Cambria" w:hAnsi="Cambria"/>
          <w:b/>
          <w:noProof/>
          <w:sz w:val="24"/>
          <w:szCs w:val="24"/>
        </w:rPr>
        <w:t xml:space="preserve"> B</w:t>
      </w:r>
    </w:p>
    <w:p w14:paraId="42270E28" w14:textId="1FECFF7A" w:rsidR="00BA39F1" w:rsidRDefault="00BA39F1" w:rsidP="00A67EC6">
      <w:pPr>
        <w:shd w:val="clear" w:color="auto" w:fill="FFFFFF"/>
        <w:spacing w:after="360" w:line="240" w:lineRule="auto"/>
        <w:jc w:val="center"/>
        <w:textAlignment w:val="baseline"/>
        <w:rPr>
          <w:rFonts w:ascii="Cambria" w:hAnsi="Cambria"/>
          <w:b/>
          <w:noProof/>
          <w:sz w:val="24"/>
          <w:szCs w:val="24"/>
        </w:rPr>
      </w:pPr>
      <w:r>
        <w:rPr>
          <w:rFonts w:ascii="Cambria" w:hAnsi="Cambria"/>
          <w:b/>
          <w:noProof/>
          <w:sz w:val="24"/>
          <w:szCs w:val="24"/>
        </w:rPr>
        <w:drawing>
          <wp:inline distT="0" distB="0" distL="0" distR="0" wp14:anchorId="6211B68C" wp14:editId="7DDCE0B9">
            <wp:extent cx="8046720" cy="4184121"/>
            <wp:effectExtent l="7302" t="0" r="0" b="0"/>
            <wp:docPr id="6" name="Picture 6"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 email&#10;&#10;Description automatically generated"/>
                    <pic:cNvPicPr/>
                  </pic:nvPicPr>
                  <pic:blipFill>
                    <a:blip r:embed="rId9"/>
                    <a:stretch>
                      <a:fillRect/>
                    </a:stretch>
                  </pic:blipFill>
                  <pic:spPr>
                    <a:xfrm rot="16200000">
                      <a:off x="0" y="0"/>
                      <a:ext cx="8046720" cy="4184121"/>
                    </a:xfrm>
                    <a:prstGeom prst="rect">
                      <a:avLst/>
                    </a:prstGeom>
                  </pic:spPr>
                </pic:pic>
              </a:graphicData>
            </a:graphic>
          </wp:inline>
        </w:drawing>
      </w:r>
    </w:p>
    <w:p w14:paraId="7AD92892" w14:textId="56D1424B" w:rsidR="00E94F3E" w:rsidRDefault="00581A7A" w:rsidP="00BB31D0">
      <w:pPr>
        <w:shd w:val="clear" w:color="auto" w:fill="FFFFFF"/>
        <w:spacing w:after="240" w:line="240" w:lineRule="auto"/>
        <w:textAlignment w:val="baseline"/>
        <w:rPr>
          <w:rFonts w:ascii="Cambria" w:hAnsi="Cambria"/>
          <w:b/>
          <w:noProof/>
          <w:sz w:val="24"/>
          <w:szCs w:val="24"/>
        </w:rPr>
      </w:pPr>
      <w:r>
        <w:rPr>
          <w:rFonts w:ascii="Cambria" w:hAnsi="Cambria"/>
          <w:b/>
          <w:noProof/>
          <w:sz w:val="24"/>
          <w:szCs w:val="24"/>
        </w:rPr>
        <w:t>Exhibit C</w:t>
      </w:r>
    </w:p>
    <w:p w14:paraId="5935177C" w14:textId="0BDDBCA6" w:rsidR="00E94F3E" w:rsidRDefault="00601FC2" w:rsidP="002B2A78">
      <w:pPr>
        <w:spacing w:after="120" w:line="240" w:lineRule="auto"/>
        <w:jc w:val="center"/>
        <w:rPr>
          <w:noProof/>
        </w:rPr>
      </w:pPr>
      <w:r w:rsidRPr="00601FC2">
        <w:rPr>
          <w:noProof/>
        </w:rPr>
        <w:drawing>
          <wp:inline distT="0" distB="0" distL="0" distR="0" wp14:anchorId="549AD298" wp14:editId="377ABC25">
            <wp:extent cx="5433060" cy="6624003"/>
            <wp:effectExtent l="0" t="0" r="0" b="5715"/>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0"/>
                    <a:stretch>
                      <a:fillRect/>
                    </a:stretch>
                  </pic:blipFill>
                  <pic:spPr>
                    <a:xfrm>
                      <a:off x="0" y="0"/>
                      <a:ext cx="5457299" cy="6653555"/>
                    </a:xfrm>
                    <a:prstGeom prst="rect">
                      <a:avLst/>
                    </a:prstGeom>
                  </pic:spPr>
                </pic:pic>
              </a:graphicData>
            </a:graphic>
          </wp:inline>
        </w:drawing>
      </w:r>
    </w:p>
    <w:p w14:paraId="14AB96EC" w14:textId="5C66BBB5" w:rsidR="002B2A78" w:rsidRDefault="002B2A78" w:rsidP="002B2A78">
      <w:pPr>
        <w:spacing w:after="0" w:line="216" w:lineRule="auto"/>
        <w:jc w:val="center"/>
        <w:rPr>
          <w:noProof/>
        </w:rPr>
      </w:pPr>
      <w:r w:rsidRPr="00EA4D8D">
        <w:rPr>
          <w:rFonts w:ascii="Source Sans Pro" w:hAnsi="Source Sans Pro"/>
          <w:noProof/>
          <w:color w:val="1E1E23"/>
          <w:sz w:val="25"/>
          <w:szCs w:val="25"/>
        </w:rPr>
        <w:drawing>
          <wp:inline distT="0" distB="0" distL="0" distR="0" wp14:anchorId="6C3BE9F0" wp14:editId="2FED285B">
            <wp:extent cx="5439893" cy="654050"/>
            <wp:effectExtent l="0" t="0" r="8890" b="0"/>
            <wp:docPr id="4" name="Picture 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rotWithShape="1">
                    <a:blip r:embed="rId11"/>
                    <a:srcRect t="25351" b="29407"/>
                    <a:stretch/>
                  </pic:blipFill>
                  <pic:spPr bwMode="auto">
                    <a:xfrm>
                      <a:off x="0" y="0"/>
                      <a:ext cx="5504305" cy="661794"/>
                    </a:xfrm>
                    <a:prstGeom prst="rect">
                      <a:avLst/>
                    </a:prstGeom>
                    <a:ln>
                      <a:noFill/>
                    </a:ln>
                    <a:extLst>
                      <a:ext uri="{53640926-AAD7-44D8-BBD7-CCE9431645EC}">
                        <a14:shadowObscured xmlns:a14="http://schemas.microsoft.com/office/drawing/2010/main"/>
                      </a:ext>
                    </a:extLst>
                  </pic:spPr>
                </pic:pic>
              </a:graphicData>
            </a:graphic>
          </wp:inline>
        </w:drawing>
      </w:r>
    </w:p>
    <w:p w14:paraId="6FC46515" w14:textId="77777777" w:rsidR="002B2A78" w:rsidRDefault="002B2A78" w:rsidP="00C612B0">
      <w:pPr>
        <w:spacing w:after="0" w:line="216" w:lineRule="auto"/>
        <w:rPr>
          <w:noProof/>
        </w:rPr>
      </w:pPr>
    </w:p>
    <w:p w14:paraId="12D71AA1" w14:textId="77777777" w:rsidR="00731F51" w:rsidRDefault="00731F51" w:rsidP="00731F51">
      <w:pPr>
        <w:spacing w:after="0" w:line="216" w:lineRule="auto"/>
        <w:ind w:left="540"/>
        <w:rPr>
          <w:rFonts w:ascii="Source Sans Pro" w:hAnsi="Source Sans Pro"/>
          <w:color w:val="1E1E23"/>
          <w:sz w:val="18"/>
          <w:szCs w:val="18"/>
          <w:shd w:val="clear" w:color="auto" w:fill="FFFFFF"/>
        </w:rPr>
      </w:pPr>
      <w:r>
        <w:rPr>
          <w:rFonts w:ascii="Source Sans Pro" w:hAnsi="Source Sans Pro"/>
          <w:color w:val="1E1E23"/>
          <w:sz w:val="18"/>
          <w:szCs w:val="18"/>
          <w:shd w:val="clear" w:color="auto" w:fill="FFFFFF"/>
        </w:rPr>
        <w:t>Last Revised: April 23, 2022</w:t>
      </w:r>
    </w:p>
    <w:p w14:paraId="70192DF5" w14:textId="77777777" w:rsidR="00731F51" w:rsidRDefault="00731F51" w:rsidP="00731F51">
      <w:pPr>
        <w:spacing w:after="0" w:line="216" w:lineRule="auto"/>
        <w:ind w:left="540"/>
        <w:rPr>
          <w:rFonts w:ascii="Source Sans Pro" w:hAnsi="Source Sans Pro"/>
          <w:color w:val="1E1E23"/>
          <w:sz w:val="18"/>
          <w:szCs w:val="18"/>
          <w:shd w:val="clear" w:color="auto" w:fill="FFFFFF"/>
        </w:rPr>
      </w:pPr>
    </w:p>
    <w:p w14:paraId="2B579843" w14:textId="61255420" w:rsidR="00C45A23" w:rsidRPr="00826EF3" w:rsidRDefault="00E94F3E" w:rsidP="00826EF3">
      <w:pPr>
        <w:spacing w:after="0" w:line="216" w:lineRule="auto"/>
        <w:ind w:left="547"/>
        <w:rPr>
          <w:noProof/>
          <w:sz w:val="20"/>
          <w:szCs w:val="20"/>
        </w:rPr>
      </w:pPr>
      <w:r w:rsidRPr="00826EF3">
        <w:rPr>
          <w:noProof/>
          <w:sz w:val="20"/>
          <w:szCs w:val="20"/>
        </w:rPr>
        <w:t xml:space="preserve">Source: </w:t>
      </w:r>
    </w:p>
    <w:p w14:paraId="4B6BF0F0" w14:textId="6146199B" w:rsidR="00581A7A" w:rsidRPr="00826EF3" w:rsidRDefault="005C428C" w:rsidP="00826EF3">
      <w:pPr>
        <w:spacing w:after="0" w:line="216" w:lineRule="auto"/>
        <w:ind w:left="547"/>
        <w:rPr>
          <w:noProof/>
          <w:sz w:val="20"/>
          <w:szCs w:val="20"/>
        </w:rPr>
      </w:pPr>
      <w:r w:rsidRPr="00826EF3">
        <w:rPr>
          <w:noProof/>
          <w:sz w:val="20"/>
          <w:szCs w:val="20"/>
        </w:rPr>
        <w:t>www.cancer.org/cancer/prostate-cancer/early-detection/acs-recommendations.html</w:t>
      </w:r>
    </w:p>
    <w:p w14:paraId="48CC9629" w14:textId="2F6D57E8" w:rsidR="00953EAA" w:rsidRDefault="00581A7A" w:rsidP="00953EAA">
      <w:pPr>
        <w:spacing w:after="360"/>
        <w:rPr>
          <w:rFonts w:ascii="Cambria" w:hAnsi="Cambria"/>
          <w:b/>
          <w:noProof/>
          <w:sz w:val="24"/>
          <w:szCs w:val="24"/>
        </w:rPr>
      </w:pPr>
      <w:r>
        <w:rPr>
          <w:rFonts w:ascii="Cambria" w:hAnsi="Cambria"/>
          <w:b/>
          <w:noProof/>
          <w:sz w:val="24"/>
          <w:szCs w:val="24"/>
        </w:rPr>
        <w:t>Exhibit D</w:t>
      </w:r>
    </w:p>
    <w:p w14:paraId="6B4AF2EA" w14:textId="49118987" w:rsidR="005F0BD3" w:rsidRDefault="009E2D96" w:rsidP="00953EAA">
      <w:pPr>
        <w:spacing w:after="360"/>
        <w:rPr>
          <w:rFonts w:ascii="Cambria" w:hAnsi="Cambria"/>
          <w:b/>
          <w:noProof/>
          <w:sz w:val="24"/>
          <w:szCs w:val="24"/>
        </w:rPr>
      </w:pPr>
      <w:r w:rsidRPr="009E2D96">
        <w:rPr>
          <w:rFonts w:ascii="Cambria" w:hAnsi="Cambria"/>
          <w:b/>
          <w:noProof/>
          <w:sz w:val="24"/>
          <w:szCs w:val="24"/>
        </w:rPr>
        <w:drawing>
          <wp:inline distT="0" distB="0" distL="0" distR="0" wp14:anchorId="40D5D649" wp14:editId="63A1B7B8">
            <wp:extent cx="6041779" cy="6400800"/>
            <wp:effectExtent l="0" t="0" r="0" b="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12"/>
                    <a:stretch>
                      <a:fillRect/>
                    </a:stretch>
                  </pic:blipFill>
                  <pic:spPr>
                    <a:xfrm>
                      <a:off x="0" y="0"/>
                      <a:ext cx="6056209" cy="6416087"/>
                    </a:xfrm>
                    <a:prstGeom prst="rect">
                      <a:avLst/>
                    </a:prstGeom>
                  </pic:spPr>
                </pic:pic>
              </a:graphicData>
            </a:graphic>
          </wp:inline>
        </w:drawing>
      </w:r>
    </w:p>
    <w:p w14:paraId="67C1E935" w14:textId="3794DB6D" w:rsidR="00854183" w:rsidRPr="00854183" w:rsidRDefault="00854183" w:rsidP="00826EF3">
      <w:pPr>
        <w:spacing w:after="0" w:line="216" w:lineRule="auto"/>
        <w:rPr>
          <w:rFonts w:cstheme="minorHAnsi"/>
          <w:bCs/>
          <w:noProof/>
        </w:rPr>
      </w:pPr>
      <w:r w:rsidRPr="00854183">
        <w:rPr>
          <w:rFonts w:cstheme="minorHAnsi"/>
          <w:bCs/>
          <w:noProof/>
        </w:rPr>
        <w:t>Source:</w:t>
      </w:r>
    </w:p>
    <w:p w14:paraId="191088B5" w14:textId="5BABDEFB" w:rsidR="00854183" w:rsidRPr="00854183" w:rsidRDefault="00854183" w:rsidP="00826EF3">
      <w:pPr>
        <w:spacing w:after="0" w:line="216" w:lineRule="auto"/>
        <w:rPr>
          <w:rFonts w:cstheme="minorHAnsi"/>
        </w:rPr>
      </w:pPr>
      <w:r w:rsidRPr="00854183">
        <w:rPr>
          <w:rFonts w:cstheme="minorHAnsi"/>
        </w:rPr>
        <w:t>www.uhcprovider.com/content/dam/provider/docs/public/policies/comm-medical-drug/genetic-testing-hereditary-cancer.pdf</w:t>
      </w:r>
    </w:p>
    <w:p w14:paraId="34C58874" w14:textId="77777777" w:rsidR="00854183" w:rsidRDefault="00854183" w:rsidP="00953EAA">
      <w:pPr>
        <w:spacing w:after="360"/>
        <w:rPr>
          <w:rFonts w:ascii="Cambria" w:hAnsi="Cambria"/>
          <w:b/>
          <w:noProof/>
          <w:sz w:val="24"/>
          <w:szCs w:val="24"/>
        </w:rPr>
      </w:pPr>
    </w:p>
    <w:p w14:paraId="5DACC277" w14:textId="7DF0239C" w:rsidR="00F94B60" w:rsidRPr="00D30E44" w:rsidRDefault="00F94B60" w:rsidP="0075789A"/>
    <w:sectPr w:rsidR="00F94B60" w:rsidRPr="00D30E44" w:rsidSect="003D450C">
      <w:headerReference w:type="default" r:id="rId13"/>
      <w:pgSz w:w="12240" w:h="15840" w:code="1"/>
      <w:pgMar w:top="1584" w:right="1440" w:bottom="864" w:left="144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57469" w14:textId="77777777" w:rsidR="008745BE" w:rsidRDefault="008745BE" w:rsidP="004B2E8F">
      <w:pPr>
        <w:spacing w:after="0" w:line="240" w:lineRule="auto"/>
      </w:pPr>
      <w:r>
        <w:separator/>
      </w:r>
    </w:p>
  </w:endnote>
  <w:endnote w:type="continuationSeparator" w:id="0">
    <w:p w14:paraId="1AF4584D" w14:textId="77777777" w:rsidR="008745BE" w:rsidRDefault="008745BE" w:rsidP="004B2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A00E2" w14:textId="77777777" w:rsidR="008745BE" w:rsidRDefault="008745BE" w:rsidP="004B2E8F">
      <w:pPr>
        <w:spacing w:after="0" w:line="240" w:lineRule="auto"/>
      </w:pPr>
      <w:r>
        <w:separator/>
      </w:r>
    </w:p>
  </w:footnote>
  <w:footnote w:type="continuationSeparator" w:id="0">
    <w:p w14:paraId="50DBAE9E" w14:textId="77777777" w:rsidR="008745BE" w:rsidRDefault="008745BE" w:rsidP="004B2E8F">
      <w:pPr>
        <w:spacing w:after="0" w:line="240" w:lineRule="auto"/>
      </w:pPr>
      <w:r>
        <w:continuationSeparator/>
      </w:r>
    </w:p>
  </w:footnote>
  <w:footnote w:id="1">
    <w:p w14:paraId="246A429D" w14:textId="20ACD9BD" w:rsidR="00812F8E" w:rsidRPr="003C4B83" w:rsidRDefault="00812F8E" w:rsidP="002F57DC">
      <w:pPr>
        <w:pStyle w:val="Heading1"/>
        <w:shd w:val="clear" w:color="auto" w:fill="FFFFFF"/>
        <w:spacing w:before="0" w:line="228" w:lineRule="auto"/>
        <w:rPr>
          <w:rFonts w:asciiTheme="minorHAnsi" w:hAnsiTheme="minorHAnsi"/>
          <w:color w:val="000000" w:themeColor="text1"/>
          <w:sz w:val="20"/>
          <w:szCs w:val="20"/>
        </w:rPr>
      </w:pPr>
      <w:r w:rsidRPr="003C4B83">
        <w:rPr>
          <w:rStyle w:val="FootnoteReference"/>
          <w:rFonts w:asciiTheme="minorHAnsi" w:hAnsiTheme="minorHAnsi"/>
          <w:color w:val="000000" w:themeColor="text1"/>
          <w:sz w:val="20"/>
          <w:szCs w:val="20"/>
        </w:rPr>
        <w:footnoteRef/>
      </w:r>
      <w:r w:rsidRPr="003C4B83">
        <w:rPr>
          <w:rFonts w:asciiTheme="minorHAnsi" w:hAnsiTheme="minorHAnsi"/>
          <w:color w:val="000000" w:themeColor="text1"/>
          <w:sz w:val="20"/>
          <w:szCs w:val="20"/>
        </w:rPr>
        <w:t xml:space="preserve"> JCO, </w:t>
      </w:r>
      <w:r w:rsidRPr="003C4B83">
        <w:rPr>
          <w:rFonts w:asciiTheme="minorHAnsi" w:hAnsiTheme="minorHAnsi" w:cs="Arial"/>
          <w:color w:val="000000" w:themeColor="text1"/>
          <w:sz w:val="20"/>
          <w:szCs w:val="20"/>
        </w:rPr>
        <w:t>Prediction of Breast and Prostate Cancer Risks in Male </w:t>
      </w:r>
      <w:r w:rsidRPr="003C4B83">
        <w:rPr>
          <w:rFonts w:asciiTheme="minorHAnsi" w:hAnsiTheme="minorHAnsi" w:cs="Arial"/>
          <w:i/>
          <w:iCs/>
          <w:color w:val="000000" w:themeColor="text1"/>
          <w:sz w:val="20"/>
          <w:szCs w:val="20"/>
        </w:rPr>
        <w:t>BRCA1</w:t>
      </w:r>
      <w:r w:rsidRPr="003C4B83">
        <w:rPr>
          <w:rFonts w:asciiTheme="minorHAnsi" w:hAnsiTheme="minorHAnsi" w:cs="Arial"/>
          <w:color w:val="000000" w:themeColor="text1"/>
          <w:sz w:val="20"/>
          <w:szCs w:val="20"/>
        </w:rPr>
        <w:t> and </w:t>
      </w:r>
      <w:r w:rsidRPr="003C4B83">
        <w:rPr>
          <w:rFonts w:asciiTheme="minorHAnsi" w:hAnsiTheme="minorHAnsi" w:cs="Arial"/>
          <w:i/>
          <w:iCs/>
          <w:color w:val="000000" w:themeColor="text1"/>
          <w:sz w:val="20"/>
          <w:szCs w:val="20"/>
        </w:rPr>
        <w:t>BRCA2</w:t>
      </w:r>
      <w:r w:rsidRPr="003C4B83">
        <w:rPr>
          <w:rFonts w:asciiTheme="minorHAnsi" w:hAnsiTheme="minorHAnsi" w:cs="Arial"/>
          <w:color w:val="000000" w:themeColor="text1"/>
          <w:sz w:val="20"/>
          <w:szCs w:val="20"/>
        </w:rPr>
        <w:t> Mutation Carriers Using Polygenic Risk Scores,</w:t>
      </w:r>
      <w:r w:rsidRPr="003C4B83">
        <w:rPr>
          <w:rFonts w:asciiTheme="minorHAnsi" w:hAnsiTheme="minorHAnsi"/>
          <w:color w:val="000000" w:themeColor="text1"/>
          <w:sz w:val="20"/>
          <w:szCs w:val="20"/>
        </w:rPr>
        <w:t xml:space="preserve"> http://ascopubs.org/doi/full/10.1200/JCO.2016.69.4935</w:t>
      </w:r>
    </w:p>
  </w:footnote>
  <w:footnote w:id="2">
    <w:p w14:paraId="1E5B2FC6" w14:textId="77777777" w:rsidR="005C1A72" w:rsidRPr="003C4B83" w:rsidRDefault="005C1A72" w:rsidP="002F57DC">
      <w:pPr>
        <w:pStyle w:val="Heading1"/>
        <w:shd w:val="clear" w:color="auto" w:fill="FFFFFB"/>
        <w:spacing w:before="0" w:line="228" w:lineRule="auto"/>
        <w:textAlignment w:val="baseline"/>
        <w:rPr>
          <w:rFonts w:asciiTheme="minorHAnsi" w:hAnsiTheme="minorHAnsi" w:cs="Arial"/>
          <w:color w:val="000000" w:themeColor="text1"/>
          <w:sz w:val="20"/>
          <w:szCs w:val="20"/>
        </w:rPr>
      </w:pPr>
      <w:r w:rsidRPr="003C4B83">
        <w:rPr>
          <w:rStyle w:val="FootnoteReference"/>
          <w:rFonts w:asciiTheme="minorHAnsi" w:hAnsiTheme="minorHAnsi"/>
          <w:sz w:val="20"/>
          <w:szCs w:val="20"/>
        </w:rPr>
        <w:footnoteRef/>
      </w:r>
      <w:r w:rsidRPr="003C4B83">
        <w:rPr>
          <w:rFonts w:asciiTheme="minorHAnsi" w:hAnsiTheme="minorHAnsi"/>
          <w:sz w:val="20"/>
          <w:szCs w:val="20"/>
        </w:rPr>
        <w:t xml:space="preserve"> </w:t>
      </w:r>
      <w:r w:rsidRPr="003C4B83">
        <w:rPr>
          <w:rFonts w:asciiTheme="minorHAnsi" w:hAnsiTheme="minorHAnsi"/>
          <w:color w:val="000000" w:themeColor="text1"/>
          <w:sz w:val="20"/>
          <w:szCs w:val="20"/>
        </w:rPr>
        <w:t xml:space="preserve">National Cancer Institute, </w:t>
      </w:r>
      <w:r w:rsidRPr="003C4B83">
        <w:rPr>
          <w:rFonts w:asciiTheme="minorHAnsi" w:hAnsiTheme="minorHAnsi" w:cs="Arial"/>
          <w:color w:val="000000" w:themeColor="text1"/>
          <w:sz w:val="20"/>
          <w:szCs w:val="20"/>
          <w:bdr w:val="none" w:sz="0" w:space="0" w:color="auto" w:frame="1"/>
        </w:rPr>
        <w:t xml:space="preserve">BRCA Mutations: Cancer Risk and Genetic Testing, </w:t>
      </w:r>
    </w:p>
    <w:p w14:paraId="2B4478DA" w14:textId="7D8D4A7A" w:rsidR="005C1A72" w:rsidRPr="003C4B83" w:rsidRDefault="005C1A72" w:rsidP="002F57DC">
      <w:pPr>
        <w:pStyle w:val="FootnoteText"/>
        <w:spacing w:line="228" w:lineRule="auto"/>
      </w:pPr>
      <w:r w:rsidRPr="003C4B83">
        <w:t>www.cancer.gov/about-cancer/causes-prevention/genetics/brca-fact-sheet</w:t>
      </w:r>
    </w:p>
  </w:footnote>
  <w:footnote w:id="3">
    <w:p w14:paraId="267D5A37" w14:textId="77777777" w:rsidR="003D450C" w:rsidRPr="001A4A57" w:rsidRDefault="003D450C" w:rsidP="002F57DC">
      <w:pPr>
        <w:pStyle w:val="Heading1"/>
        <w:shd w:val="clear" w:color="auto" w:fill="FFFFFF"/>
        <w:spacing w:before="0" w:line="228" w:lineRule="auto"/>
        <w:textAlignment w:val="baseline"/>
        <w:rPr>
          <w:rFonts w:asciiTheme="minorHAnsi" w:hAnsiTheme="minorHAnsi"/>
          <w:color w:val="000000" w:themeColor="text1"/>
          <w:sz w:val="20"/>
          <w:szCs w:val="20"/>
        </w:rPr>
      </w:pPr>
      <w:r w:rsidRPr="003C4B83">
        <w:rPr>
          <w:rStyle w:val="FootnoteReference"/>
          <w:rFonts w:asciiTheme="minorHAnsi" w:hAnsiTheme="minorHAnsi"/>
          <w:color w:val="000000" w:themeColor="text1"/>
          <w:sz w:val="20"/>
          <w:szCs w:val="20"/>
        </w:rPr>
        <w:footnoteRef/>
      </w:r>
      <w:r w:rsidRPr="003C4B83">
        <w:rPr>
          <w:rFonts w:asciiTheme="minorHAnsi" w:hAnsiTheme="minorHAnsi"/>
          <w:color w:val="000000" w:themeColor="text1"/>
          <w:sz w:val="20"/>
          <w:szCs w:val="20"/>
        </w:rPr>
        <w:t xml:space="preserve"> Breast Cancer Risk Among Male BRCA1 and BRCA2 Mutation Carriers, https://academic.oup.com/jnci/article/99/23/1811/993419</w:t>
      </w:r>
    </w:p>
  </w:footnote>
  <w:footnote w:id="4">
    <w:p w14:paraId="31FAC506" w14:textId="77777777" w:rsidR="003D450C" w:rsidRPr="00100ACC" w:rsidRDefault="003D450C" w:rsidP="003C4B83">
      <w:pPr>
        <w:pStyle w:val="Heading1"/>
        <w:spacing w:before="0" w:line="228" w:lineRule="auto"/>
        <w:ind w:right="-180"/>
        <w:rPr>
          <w:rFonts w:asciiTheme="minorHAnsi" w:hAnsiTheme="minorHAnsi"/>
          <w:color w:val="000000" w:themeColor="text1"/>
          <w:sz w:val="20"/>
          <w:szCs w:val="20"/>
        </w:rPr>
      </w:pPr>
      <w:r w:rsidRPr="00A50357">
        <w:rPr>
          <w:rStyle w:val="FootnoteReference"/>
          <w:rFonts w:asciiTheme="minorHAnsi" w:hAnsiTheme="minorHAnsi"/>
          <w:color w:val="000000" w:themeColor="text1"/>
          <w:sz w:val="20"/>
          <w:szCs w:val="20"/>
        </w:rPr>
        <w:footnoteRef/>
      </w:r>
      <w:r w:rsidRPr="00A50357">
        <w:rPr>
          <w:rFonts w:asciiTheme="minorHAnsi" w:hAnsiTheme="minorHAnsi"/>
          <w:color w:val="000000" w:themeColor="text1"/>
          <w:sz w:val="20"/>
          <w:szCs w:val="20"/>
        </w:rPr>
        <w:t xml:space="preserve"> </w:t>
      </w:r>
      <w:r w:rsidRPr="00A50357">
        <w:rPr>
          <w:rFonts w:asciiTheme="minorHAnsi" w:hAnsiTheme="minorHAnsi"/>
          <w:bCs/>
          <w:color w:val="000000"/>
          <w:sz w:val="20"/>
          <w:szCs w:val="20"/>
        </w:rPr>
        <w:t>Targeted prostate cancer screening in </w:t>
      </w:r>
      <w:r w:rsidRPr="00A50357">
        <w:rPr>
          <w:rStyle w:val="Emphasis"/>
          <w:rFonts w:asciiTheme="minorHAnsi" w:hAnsiTheme="minorHAnsi"/>
          <w:bCs/>
          <w:color w:val="000000"/>
          <w:sz w:val="20"/>
          <w:szCs w:val="20"/>
        </w:rPr>
        <w:t>BRCA1</w:t>
      </w:r>
      <w:r w:rsidRPr="00A50357">
        <w:rPr>
          <w:rFonts w:asciiTheme="minorHAnsi" w:hAnsiTheme="minorHAnsi"/>
          <w:bCs/>
          <w:color w:val="000000"/>
          <w:sz w:val="20"/>
          <w:szCs w:val="20"/>
        </w:rPr>
        <w:t> and </w:t>
      </w:r>
      <w:r w:rsidRPr="00A50357">
        <w:rPr>
          <w:rStyle w:val="Emphasis"/>
          <w:rFonts w:asciiTheme="minorHAnsi" w:hAnsiTheme="minorHAnsi"/>
          <w:bCs/>
          <w:color w:val="000000"/>
          <w:sz w:val="20"/>
          <w:szCs w:val="20"/>
        </w:rPr>
        <w:t>BRCA2</w:t>
      </w:r>
      <w:r w:rsidRPr="00A50357">
        <w:rPr>
          <w:rFonts w:asciiTheme="minorHAnsi" w:hAnsiTheme="minorHAnsi"/>
          <w:bCs/>
          <w:color w:val="000000"/>
          <w:sz w:val="20"/>
          <w:szCs w:val="20"/>
        </w:rPr>
        <w:t xml:space="preserve"> mutation carriers to detect clinically significant disease: </w:t>
      </w:r>
      <w:r w:rsidRPr="00100ACC">
        <w:rPr>
          <w:rFonts w:asciiTheme="minorHAnsi" w:hAnsiTheme="minorHAnsi"/>
          <w:bCs/>
          <w:color w:val="000000" w:themeColor="text1"/>
          <w:sz w:val="20"/>
          <w:szCs w:val="20"/>
        </w:rPr>
        <w:t>Results from the initial screening round of the IMPACT study, https://meetinglibrary.asco.org/record/90940/abstract</w:t>
      </w:r>
    </w:p>
  </w:footnote>
  <w:footnote w:id="5">
    <w:p w14:paraId="6888906B" w14:textId="77777777" w:rsidR="003D450C" w:rsidRPr="00100ACC" w:rsidRDefault="003D450C" w:rsidP="003C4B83">
      <w:pPr>
        <w:pStyle w:val="Heading1"/>
        <w:shd w:val="clear" w:color="auto" w:fill="FFFFFF"/>
        <w:spacing w:before="0" w:line="228" w:lineRule="auto"/>
        <w:rPr>
          <w:rFonts w:asciiTheme="minorHAnsi" w:hAnsiTheme="minorHAnsi"/>
          <w:color w:val="000000" w:themeColor="text1"/>
          <w:sz w:val="20"/>
          <w:szCs w:val="20"/>
        </w:rPr>
      </w:pPr>
      <w:r w:rsidRPr="00100ACC">
        <w:rPr>
          <w:rStyle w:val="FootnoteReference"/>
          <w:rFonts w:asciiTheme="minorHAnsi" w:hAnsiTheme="minorHAnsi"/>
          <w:color w:val="000000" w:themeColor="text1"/>
          <w:sz w:val="20"/>
          <w:szCs w:val="20"/>
        </w:rPr>
        <w:footnoteRef/>
      </w:r>
      <w:r w:rsidRPr="00100ACC">
        <w:rPr>
          <w:rFonts w:asciiTheme="minorHAnsi" w:hAnsiTheme="minorHAnsi"/>
          <w:color w:val="000000" w:themeColor="text1"/>
          <w:sz w:val="20"/>
          <w:szCs w:val="20"/>
        </w:rPr>
        <w:t xml:space="preserve"> JCO, </w:t>
      </w:r>
      <w:r w:rsidRPr="00100ACC">
        <w:rPr>
          <w:rFonts w:asciiTheme="minorHAnsi" w:hAnsiTheme="minorHAnsi" w:cs="Arial"/>
          <w:color w:val="000000" w:themeColor="text1"/>
          <w:sz w:val="20"/>
          <w:szCs w:val="20"/>
        </w:rPr>
        <w:t xml:space="preserve">Role of Genetic Testing for Inherited Prostate Cancer Risk: Philadelphia Prostate Cancer Consensus Conference 2017, </w:t>
      </w:r>
      <w:r w:rsidRPr="00100ACC">
        <w:rPr>
          <w:rFonts w:asciiTheme="minorHAnsi" w:hAnsiTheme="minorHAnsi"/>
          <w:color w:val="000000" w:themeColor="text1"/>
          <w:sz w:val="20"/>
          <w:szCs w:val="20"/>
        </w:rPr>
        <w:t>http://ascopubs.org/doi/full/10.1200/JCO.2017.74.1173</w:t>
      </w:r>
    </w:p>
  </w:footnote>
  <w:footnote w:id="6">
    <w:p w14:paraId="419C85E9" w14:textId="27377722" w:rsidR="00100ACC" w:rsidRPr="00100ACC" w:rsidRDefault="00100ACC" w:rsidP="003C4B83">
      <w:pPr>
        <w:pStyle w:val="Heading1"/>
        <w:shd w:val="clear" w:color="auto" w:fill="FFFFFF"/>
        <w:spacing w:before="0" w:line="228" w:lineRule="auto"/>
        <w:rPr>
          <w:rFonts w:asciiTheme="minorHAnsi" w:hAnsiTheme="minorHAnsi"/>
          <w:color w:val="000000" w:themeColor="text1"/>
          <w:sz w:val="20"/>
          <w:szCs w:val="20"/>
        </w:rPr>
      </w:pPr>
      <w:r w:rsidRPr="00100ACC">
        <w:rPr>
          <w:rStyle w:val="FootnoteReference"/>
          <w:rFonts w:asciiTheme="minorHAnsi" w:hAnsiTheme="minorHAnsi"/>
          <w:color w:val="000000" w:themeColor="text1"/>
          <w:sz w:val="20"/>
          <w:szCs w:val="20"/>
        </w:rPr>
        <w:footnoteRef/>
      </w:r>
      <w:r w:rsidRPr="00100ACC">
        <w:rPr>
          <w:rFonts w:asciiTheme="minorHAnsi" w:hAnsiTheme="minorHAnsi"/>
          <w:color w:val="000000" w:themeColor="text1"/>
          <w:sz w:val="20"/>
          <w:szCs w:val="20"/>
        </w:rPr>
        <w:t xml:space="preserve"> Renal &amp; Urology News, Prostate Cancer Advisor, </w:t>
      </w:r>
      <w:r w:rsidRPr="00100ACC">
        <w:rPr>
          <w:rFonts w:asciiTheme="minorHAnsi" w:hAnsiTheme="minorHAnsi"/>
          <w:bCs/>
          <w:color w:val="000000" w:themeColor="text1"/>
          <w:sz w:val="20"/>
          <w:szCs w:val="20"/>
        </w:rPr>
        <w:t>Prostate Cancer Gene Testing Guidelines Issued</w:t>
      </w:r>
      <w:r>
        <w:rPr>
          <w:rFonts w:asciiTheme="minorHAnsi" w:hAnsiTheme="minorHAnsi"/>
          <w:bCs/>
          <w:color w:val="000000" w:themeColor="text1"/>
          <w:sz w:val="20"/>
          <w:szCs w:val="20"/>
        </w:rPr>
        <w:t>,</w:t>
      </w:r>
    </w:p>
    <w:p w14:paraId="14C1A589" w14:textId="147AB39E" w:rsidR="00100ACC" w:rsidRPr="00100ACC" w:rsidRDefault="00100ACC" w:rsidP="003C4B83">
      <w:pPr>
        <w:pStyle w:val="FootnoteText"/>
        <w:spacing w:line="228" w:lineRule="auto"/>
        <w:rPr>
          <w:color w:val="000000" w:themeColor="text1"/>
        </w:rPr>
      </w:pPr>
      <w:r w:rsidRPr="00100ACC">
        <w:rPr>
          <w:color w:val="000000" w:themeColor="text1"/>
        </w:rPr>
        <w:t>www.renalandurologynews.com/prostate-cancer/prostate-cancer-gene-testing-guidelines-issued/article/738076/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E58B3" w14:textId="654B3302" w:rsidR="00AE796D" w:rsidRDefault="009E1141" w:rsidP="00AE796D">
    <w:pPr>
      <w:jc w:val="center"/>
    </w:pPr>
    <w:r>
      <w:t>Sample Appeal Letter, BRCA Counseling &amp; Testing</w:t>
    </w:r>
    <w:r w:rsidR="00F376A2">
      <w:t xml:space="preserve"> for M</w:t>
    </w:r>
    <w:r>
      <w:t>en</w:t>
    </w:r>
    <w:r w:rsidR="006279A2">
      <w:t xml:space="preserve"> – Updated </w:t>
    </w:r>
    <w:r w:rsidR="002F57DC">
      <w:t>September 2022</w:t>
    </w:r>
    <w:r w:rsidR="00AE796D">
      <w:br/>
      <w:t>Previvor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9062B"/>
    <w:multiLevelType w:val="multilevel"/>
    <w:tmpl w:val="82D6E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8B3930"/>
    <w:multiLevelType w:val="multilevel"/>
    <w:tmpl w:val="47760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8711CA"/>
    <w:multiLevelType w:val="multilevel"/>
    <w:tmpl w:val="6D305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4C642C"/>
    <w:multiLevelType w:val="multilevel"/>
    <w:tmpl w:val="78049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4A52F2"/>
    <w:multiLevelType w:val="multilevel"/>
    <w:tmpl w:val="B06A5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7E84E8D"/>
    <w:multiLevelType w:val="multilevel"/>
    <w:tmpl w:val="8FBC8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2596382">
    <w:abstractNumId w:val="2"/>
  </w:num>
  <w:num w:numId="2" w16cid:durableId="220210961">
    <w:abstractNumId w:val="3"/>
  </w:num>
  <w:num w:numId="3" w16cid:durableId="369958266">
    <w:abstractNumId w:val="1"/>
  </w:num>
  <w:num w:numId="4" w16cid:durableId="2134975911">
    <w:abstractNumId w:val="4"/>
  </w:num>
  <w:num w:numId="5" w16cid:durableId="1390884906">
    <w:abstractNumId w:val="0"/>
  </w:num>
  <w:num w:numId="6" w16cid:durableId="7164403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8A7"/>
    <w:rsid w:val="0001413E"/>
    <w:rsid w:val="00041115"/>
    <w:rsid w:val="00061F03"/>
    <w:rsid w:val="00076B86"/>
    <w:rsid w:val="00076D84"/>
    <w:rsid w:val="000E5CE2"/>
    <w:rsid w:val="00100ACC"/>
    <w:rsid w:val="00117BA8"/>
    <w:rsid w:val="00120D5E"/>
    <w:rsid w:val="00124DB8"/>
    <w:rsid w:val="00137DDE"/>
    <w:rsid w:val="00181546"/>
    <w:rsid w:val="00194A96"/>
    <w:rsid w:val="001A4A57"/>
    <w:rsid w:val="001C75D0"/>
    <w:rsid w:val="001D0D76"/>
    <w:rsid w:val="001D3A82"/>
    <w:rsid w:val="00220701"/>
    <w:rsid w:val="00221410"/>
    <w:rsid w:val="00254552"/>
    <w:rsid w:val="0025520D"/>
    <w:rsid w:val="002559ED"/>
    <w:rsid w:val="00263CC3"/>
    <w:rsid w:val="00267485"/>
    <w:rsid w:val="00282E6E"/>
    <w:rsid w:val="00291F8F"/>
    <w:rsid w:val="00297E6C"/>
    <w:rsid w:val="002B0D1E"/>
    <w:rsid w:val="002B2A78"/>
    <w:rsid w:val="002B5D9C"/>
    <w:rsid w:val="002D1E93"/>
    <w:rsid w:val="002E6308"/>
    <w:rsid w:val="002F3AC7"/>
    <w:rsid w:val="002F57DC"/>
    <w:rsid w:val="003058DA"/>
    <w:rsid w:val="00311F3F"/>
    <w:rsid w:val="003127D2"/>
    <w:rsid w:val="00313AE5"/>
    <w:rsid w:val="00344872"/>
    <w:rsid w:val="0034522D"/>
    <w:rsid w:val="00367CF2"/>
    <w:rsid w:val="00384168"/>
    <w:rsid w:val="00385EC7"/>
    <w:rsid w:val="00387C1F"/>
    <w:rsid w:val="003A08B7"/>
    <w:rsid w:val="003B1E30"/>
    <w:rsid w:val="003B23F3"/>
    <w:rsid w:val="003C40B9"/>
    <w:rsid w:val="003C4B83"/>
    <w:rsid w:val="003D31AD"/>
    <w:rsid w:val="003D450C"/>
    <w:rsid w:val="00402AF3"/>
    <w:rsid w:val="00406E18"/>
    <w:rsid w:val="0041051A"/>
    <w:rsid w:val="004141DC"/>
    <w:rsid w:val="00432633"/>
    <w:rsid w:val="00442BE6"/>
    <w:rsid w:val="00475154"/>
    <w:rsid w:val="00476EE0"/>
    <w:rsid w:val="00485F0C"/>
    <w:rsid w:val="004B2E8F"/>
    <w:rsid w:val="004C4B5F"/>
    <w:rsid w:val="004D4721"/>
    <w:rsid w:val="004F72C3"/>
    <w:rsid w:val="0054424D"/>
    <w:rsid w:val="005529BB"/>
    <w:rsid w:val="00565A8A"/>
    <w:rsid w:val="00581A7A"/>
    <w:rsid w:val="00592579"/>
    <w:rsid w:val="00595C5A"/>
    <w:rsid w:val="005B52DB"/>
    <w:rsid w:val="005C1A72"/>
    <w:rsid w:val="005C428C"/>
    <w:rsid w:val="005D1C0D"/>
    <w:rsid w:val="005E011A"/>
    <w:rsid w:val="005E4640"/>
    <w:rsid w:val="005F0BD3"/>
    <w:rsid w:val="005F5D17"/>
    <w:rsid w:val="005F71C1"/>
    <w:rsid w:val="00601FC2"/>
    <w:rsid w:val="006279A2"/>
    <w:rsid w:val="0063006C"/>
    <w:rsid w:val="00632B4C"/>
    <w:rsid w:val="00650B8B"/>
    <w:rsid w:val="00651EBE"/>
    <w:rsid w:val="006555CF"/>
    <w:rsid w:val="00670692"/>
    <w:rsid w:val="00692F90"/>
    <w:rsid w:val="006948BC"/>
    <w:rsid w:val="006C2EF3"/>
    <w:rsid w:val="00715245"/>
    <w:rsid w:val="00731F51"/>
    <w:rsid w:val="00736361"/>
    <w:rsid w:val="0075789A"/>
    <w:rsid w:val="00797329"/>
    <w:rsid w:val="007A5D64"/>
    <w:rsid w:val="007A798B"/>
    <w:rsid w:val="007B6AF2"/>
    <w:rsid w:val="007D065D"/>
    <w:rsid w:val="007E65B6"/>
    <w:rsid w:val="007F12EE"/>
    <w:rsid w:val="00812F8E"/>
    <w:rsid w:val="00826EF3"/>
    <w:rsid w:val="00832CD4"/>
    <w:rsid w:val="00845FDD"/>
    <w:rsid w:val="00854183"/>
    <w:rsid w:val="008745BE"/>
    <w:rsid w:val="00876264"/>
    <w:rsid w:val="00880426"/>
    <w:rsid w:val="00891868"/>
    <w:rsid w:val="008A40D4"/>
    <w:rsid w:val="008B4A71"/>
    <w:rsid w:val="008B67C5"/>
    <w:rsid w:val="008C3EBF"/>
    <w:rsid w:val="008E32E7"/>
    <w:rsid w:val="008E43A2"/>
    <w:rsid w:val="008E4CA6"/>
    <w:rsid w:val="00913168"/>
    <w:rsid w:val="009468EC"/>
    <w:rsid w:val="00953EAA"/>
    <w:rsid w:val="009556BB"/>
    <w:rsid w:val="00975273"/>
    <w:rsid w:val="00996010"/>
    <w:rsid w:val="009B3BFB"/>
    <w:rsid w:val="009B66B4"/>
    <w:rsid w:val="009C7E1C"/>
    <w:rsid w:val="009D1B62"/>
    <w:rsid w:val="009E1141"/>
    <w:rsid w:val="009E2D96"/>
    <w:rsid w:val="009E5448"/>
    <w:rsid w:val="009E56C0"/>
    <w:rsid w:val="00A26A87"/>
    <w:rsid w:val="00A36553"/>
    <w:rsid w:val="00A372E8"/>
    <w:rsid w:val="00A50357"/>
    <w:rsid w:val="00A56D98"/>
    <w:rsid w:val="00A57842"/>
    <w:rsid w:val="00A67EC6"/>
    <w:rsid w:val="00AD7410"/>
    <w:rsid w:val="00AE796D"/>
    <w:rsid w:val="00AF22E4"/>
    <w:rsid w:val="00AF328B"/>
    <w:rsid w:val="00B33E04"/>
    <w:rsid w:val="00B64600"/>
    <w:rsid w:val="00B738C9"/>
    <w:rsid w:val="00B778A7"/>
    <w:rsid w:val="00B81CC3"/>
    <w:rsid w:val="00B837A0"/>
    <w:rsid w:val="00B96CA5"/>
    <w:rsid w:val="00BA39F1"/>
    <w:rsid w:val="00BB31D0"/>
    <w:rsid w:val="00BF2220"/>
    <w:rsid w:val="00C02B7C"/>
    <w:rsid w:val="00C22E8C"/>
    <w:rsid w:val="00C45A23"/>
    <w:rsid w:val="00C5498C"/>
    <w:rsid w:val="00C612B0"/>
    <w:rsid w:val="00CA5B03"/>
    <w:rsid w:val="00CC0569"/>
    <w:rsid w:val="00CC7A54"/>
    <w:rsid w:val="00CD2332"/>
    <w:rsid w:val="00CF2226"/>
    <w:rsid w:val="00D143EA"/>
    <w:rsid w:val="00D30E44"/>
    <w:rsid w:val="00D8316A"/>
    <w:rsid w:val="00D85DC2"/>
    <w:rsid w:val="00D9376A"/>
    <w:rsid w:val="00DC3CF5"/>
    <w:rsid w:val="00DF2DA4"/>
    <w:rsid w:val="00E01E88"/>
    <w:rsid w:val="00E0524E"/>
    <w:rsid w:val="00E05453"/>
    <w:rsid w:val="00E07F18"/>
    <w:rsid w:val="00E27E74"/>
    <w:rsid w:val="00E3613E"/>
    <w:rsid w:val="00E81B52"/>
    <w:rsid w:val="00E94F3E"/>
    <w:rsid w:val="00ED0ACA"/>
    <w:rsid w:val="00ED6E44"/>
    <w:rsid w:val="00F14A33"/>
    <w:rsid w:val="00F1720C"/>
    <w:rsid w:val="00F3544F"/>
    <w:rsid w:val="00F376A2"/>
    <w:rsid w:val="00F40699"/>
    <w:rsid w:val="00F40748"/>
    <w:rsid w:val="00F46263"/>
    <w:rsid w:val="00F655DC"/>
    <w:rsid w:val="00F80E81"/>
    <w:rsid w:val="00F84A09"/>
    <w:rsid w:val="00F91969"/>
    <w:rsid w:val="00F94B60"/>
    <w:rsid w:val="00FA1569"/>
    <w:rsid w:val="00FD459E"/>
    <w:rsid w:val="00FE000B"/>
    <w:rsid w:val="00FE247F"/>
    <w:rsid w:val="00FE4553"/>
    <w:rsid w:val="00FF4F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BE2B64"/>
  <w15:docId w15:val="{20AED095-55EC-455A-9983-2AB89A799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3A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B778A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78A7"/>
    <w:rPr>
      <w:rFonts w:ascii="Times New Roman" w:eastAsia="Times New Roman" w:hAnsi="Times New Roman" w:cs="Times New Roman"/>
      <w:b/>
      <w:bCs/>
      <w:sz w:val="36"/>
      <w:szCs w:val="36"/>
    </w:rPr>
  </w:style>
  <w:style w:type="paragraph" w:styleId="NormalWeb">
    <w:name w:val="Normal (Web)"/>
    <w:basedOn w:val="Normal"/>
    <w:uiPriority w:val="99"/>
    <w:unhideWhenUsed/>
    <w:rsid w:val="00B778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778A7"/>
  </w:style>
  <w:style w:type="character" w:styleId="Emphasis">
    <w:name w:val="Emphasis"/>
    <w:basedOn w:val="DefaultParagraphFont"/>
    <w:uiPriority w:val="20"/>
    <w:qFormat/>
    <w:rsid w:val="00B778A7"/>
    <w:rPr>
      <w:i/>
      <w:iCs/>
    </w:rPr>
  </w:style>
  <w:style w:type="character" w:styleId="Hyperlink">
    <w:name w:val="Hyperlink"/>
    <w:basedOn w:val="DefaultParagraphFont"/>
    <w:uiPriority w:val="99"/>
    <w:unhideWhenUsed/>
    <w:rsid w:val="00B778A7"/>
    <w:rPr>
      <w:color w:val="0563C1" w:themeColor="hyperlink"/>
      <w:u w:val="single"/>
    </w:rPr>
  </w:style>
  <w:style w:type="paragraph" w:styleId="Header">
    <w:name w:val="header"/>
    <w:basedOn w:val="Normal"/>
    <w:link w:val="HeaderChar"/>
    <w:uiPriority w:val="99"/>
    <w:unhideWhenUsed/>
    <w:rsid w:val="004B2E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2E8F"/>
  </w:style>
  <w:style w:type="paragraph" w:styleId="Footer">
    <w:name w:val="footer"/>
    <w:basedOn w:val="Normal"/>
    <w:link w:val="FooterChar"/>
    <w:uiPriority w:val="99"/>
    <w:unhideWhenUsed/>
    <w:rsid w:val="004B2E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2E8F"/>
  </w:style>
  <w:style w:type="paragraph" w:styleId="BalloonText">
    <w:name w:val="Balloon Text"/>
    <w:basedOn w:val="Normal"/>
    <w:link w:val="BalloonTextChar"/>
    <w:uiPriority w:val="99"/>
    <w:semiHidden/>
    <w:unhideWhenUsed/>
    <w:rsid w:val="0071524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5245"/>
    <w:rPr>
      <w:rFonts w:ascii="Lucida Grande" w:hAnsi="Lucida Grande" w:cs="Lucida Grande"/>
      <w:sz w:val="18"/>
      <w:szCs w:val="18"/>
    </w:rPr>
  </w:style>
  <w:style w:type="character" w:styleId="CommentReference">
    <w:name w:val="annotation reference"/>
    <w:basedOn w:val="DefaultParagraphFont"/>
    <w:uiPriority w:val="99"/>
    <w:semiHidden/>
    <w:unhideWhenUsed/>
    <w:rsid w:val="00797329"/>
    <w:rPr>
      <w:sz w:val="18"/>
      <w:szCs w:val="18"/>
    </w:rPr>
  </w:style>
  <w:style w:type="paragraph" w:styleId="CommentText">
    <w:name w:val="annotation text"/>
    <w:basedOn w:val="Normal"/>
    <w:link w:val="CommentTextChar"/>
    <w:uiPriority w:val="99"/>
    <w:semiHidden/>
    <w:unhideWhenUsed/>
    <w:rsid w:val="00797329"/>
    <w:pPr>
      <w:spacing w:line="240" w:lineRule="auto"/>
    </w:pPr>
    <w:rPr>
      <w:sz w:val="24"/>
      <w:szCs w:val="24"/>
    </w:rPr>
  </w:style>
  <w:style w:type="character" w:customStyle="1" w:styleId="CommentTextChar">
    <w:name w:val="Comment Text Char"/>
    <w:basedOn w:val="DefaultParagraphFont"/>
    <w:link w:val="CommentText"/>
    <w:uiPriority w:val="99"/>
    <w:semiHidden/>
    <w:rsid w:val="00797329"/>
    <w:rPr>
      <w:sz w:val="24"/>
      <w:szCs w:val="24"/>
    </w:rPr>
  </w:style>
  <w:style w:type="paragraph" w:styleId="CommentSubject">
    <w:name w:val="annotation subject"/>
    <w:basedOn w:val="CommentText"/>
    <w:next w:val="CommentText"/>
    <w:link w:val="CommentSubjectChar"/>
    <w:uiPriority w:val="99"/>
    <w:semiHidden/>
    <w:unhideWhenUsed/>
    <w:rsid w:val="00797329"/>
    <w:rPr>
      <w:b/>
      <w:bCs/>
      <w:sz w:val="20"/>
      <w:szCs w:val="20"/>
    </w:rPr>
  </w:style>
  <w:style w:type="character" w:customStyle="1" w:styleId="CommentSubjectChar">
    <w:name w:val="Comment Subject Char"/>
    <w:basedOn w:val="CommentTextChar"/>
    <w:link w:val="CommentSubject"/>
    <w:uiPriority w:val="99"/>
    <w:semiHidden/>
    <w:rsid w:val="00797329"/>
    <w:rPr>
      <w:b/>
      <w:bCs/>
      <w:sz w:val="20"/>
      <w:szCs w:val="20"/>
    </w:rPr>
  </w:style>
  <w:style w:type="character" w:customStyle="1" w:styleId="Heading1Char">
    <w:name w:val="Heading 1 Char"/>
    <w:basedOn w:val="DefaultParagraphFont"/>
    <w:link w:val="Heading1"/>
    <w:uiPriority w:val="9"/>
    <w:rsid w:val="002F3AC7"/>
    <w:rPr>
      <w:rFonts w:asciiTheme="majorHAnsi" w:eastAsiaTheme="majorEastAsia" w:hAnsiTheme="majorHAnsi" w:cstheme="majorBidi"/>
      <w:color w:val="2E74B5" w:themeColor="accent1" w:themeShade="BF"/>
      <w:sz w:val="32"/>
      <w:szCs w:val="32"/>
    </w:rPr>
  </w:style>
  <w:style w:type="character" w:styleId="FootnoteReference">
    <w:name w:val="footnote reference"/>
    <w:basedOn w:val="DefaultParagraphFont"/>
    <w:uiPriority w:val="99"/>
    <w:semiHidden/>
    <w:unhideWhenUsed/>
    <w:rsid w:val="002F3AC7"/>
    <w:rPr>
      <w:vertAlign w:val="superscript"/>
    </w:rPr>
  </w:style>
  <w:style w:type="paragraph" w:styleId="FootnoteText">
    <w:name w:val="footnote text"/>
    <w:basedOn w:val="Normal"/>
    <w:link w:val="FootnoteTextChar"/>
    <w:uiPriority w:val="99"/>
    <w:semiHidden/>
    <w:unhideWhenUsed/>
    <w:rsid w:val="00C549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498C"/>
    <w:rPr>
      <w:sz w:val="20"/>
      <w:szCs w:val="20"/>
    </w:rPr>
  </w:style>
  <w:style w:type="character" w:styleId="Strong">
    <w:name w:val="Strong"/>
    <w:basedOn w:val="DefaultParagraphFont"/>
    <w:uiPriority w:val="22"/>
    <w:qFormat/>
    <w:rsid w:val="00E3613E"/>
    <w:rPr>
      <w:b/>
      <w:bCs/>
    </w:rPr>
  </w:style>
  <w:style w:type="character" w:styleId="UnresolvedMention">
    <w:name w:val="Unresolved Mention"/>
    <w:basedOn w:val="DefaultParagraphFont"/>
    <w:uiPriority w:val="99"/>
    <w:semiHidden/>
    <w:unhideWhenUsed/>
    <w:rsid w:val="005C42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3940">
      <w:bodyDiv w:val="1"/>
      <w:marLeft w:val="0"/>
      <w:marRight w:val="0"/>
      <w:marTop w:val="0"/>
      <w:marBottom w:val="0"/>
      <w:divBdr>
        <w:top w:val="none" w:sz="0" w:space="0" w:color="auto"/>
        <w:left w:val="none" w:sz="0" w:space="0" w:color="auto"/>
        <w:bottom w:val="none" w:sz="0" w:space="0" w:color="auto"/>
        <w:right w:val="none" w:sz="0" w:space="0" w:color="auto"/>
      </w:divBdr>
    </w:div>
    <w:div w:id="157770231">
      <w:bodyDiv w:val="1"/>
      <w:marLeft w:val="0"/>
      <w:marRight w:val="0"/>
      <w:marTop w:val="0"/>
      <w:marBottom w:val="0"/>
      <w:divBdr>
        <w:top w:val="none" w:sz="0" w:space="0" w:color="auto"/>
        <w:left w:val="none" w:sz="0" w:space="0" w:color="auto"/>
        <w:bottom w:val="none" w:sz="0" w:space="0" w:color="auto"/>
        <w:right w:val="none" w:sz="0" w:space="0" w:color="auto"/>
      </w:divBdr>
    </w:div>
    <w:div w:id="234246007">
      <w:bodyDiv w:val="1"/>
      <w:marLeft w:val="0"/>
      <w:marRight w:val="0"/>
      <w:marTop w:val="0"/>
      <w:marBottom w:val="0"/>
      <w:divBdr>
        <w:top w:val="none" w:sz="0" w:space="0" w:color="auto"/>
        <w:left w:val="none" w:sz="0" w:space="0" w:color="auto"/>
        <w:bottom w:val="none" w:sz="0" w:space="0" w:color="auto"/>
        <w:right w:val="none" w:sz="0" w:space="0" w:color="auto"/>
      </w:divBdr>
    </w:div>
    <w:div w:id="256526190">
      <w:bodyDiv w:val="1"/>
      <w:marLeft w:val="0"/>
      <w:marRight w:val="0"/>
      <w:marTop w:val="0"/>
      <w:marBottom w:val="0"/>
      <w:divBdr>
        <w:top w:val="none" w:sz="0" w:space="0" w:color="auto"/>
        <w:left w:val="none" w:sz="0" w:space="0" w:color="auto"/>
        <w:bottom w:val="none" w:sz="0" w:space="0" w:color="auto"/>
        <w:right w:val="none" w:sz="0" w:space="0" w:color="auto"/>
      </w:divBdr>
    </w:div>
    <w:div w:id="361982637">
      <w:bodyDiv w:val="1"/>
      <w:marLeft w:val="0"/>
      <w:marRight w:val="0"/>
      <w:marTop w:val="0"/>
      <w:marBottom w:val="0"/>
      <w:divBdr>
        <w:top w:val="none" w:sz="0" w:space="0" w:color="auto"/>
        <w:left w:val="none" w:sz="0" w:space="0" w:color="auto"/>
        <w:bottom w:val="none" w:sz="0" w:space="0" w:color="auto"/>
        <w:right w:val="none" w:sz="0" w:space="0" w:color="auto"/>
      </w:divBdr>
    </w:div>
    <w:div w:id="363529714">
      <w:bodyDiv w:val="1"/>
      <w:marLeft w:val="0"/>
      <w:marRight w:val="0"/>
      <w:marTop w:val="0"/>
      <w:marBottom w:val="0"/>
      <w:divBdr>
        <w:top w:val="none" w:sz="0" w:space="0" w:color="auto"/>
        <w:left w:val="none" w:sz="0" w:space="0" w:color="auto"/>
        <w:bottom w:val="none" w:sz="0" w:space="0" w:color="auto"/>
        <w:right w:val="none" w:sz="0" w:space="0" w:color="auto"/>
      </w:divBdr>
    </w:div>
    <w:div w:id="426509757">
      <w:bodyDiv w:val="1"/>
      <w:marLeft w:val="0"/>
      <w:marRight w:val="0"/>
      <w:marTop w:val="0"/>
      <w:marBottom w:val="0"/>
      <w:divBdr>
        <w:top w:val="none" w:sz="0" w:space="0" w:color="auto"/>
        <w:left w:val="none" w:sz="0" w:space="0" w:color="auto"/>
        <w:bottom w:val="none" w:sz="0" w:space="0" w:color="auto"/>
        <w:right w:val="none" w:sz="0" w:space="0" w:color="auto"/>
      </w:divBdr>
    </w:div>
    <w:div w:id="610625292">
      <w:bodyDiv w:val="1"/>
      <w:marLeft w:val="0"/>
      <w:marRight w:val="0"/>
      <w:marTop w:val="0"/>
      <w:marBottom w:val="0"/>
      <w:divBdr>
        <w:top w:val="none" w:sz="0" w:space="0" w:color="auto"/>
        <w:left w:val="none" w:sz="0" w:space="0" w:color="auto"/>
        <w:bottom w:val="none" w:sz="0" w:space="0" w:color="auto"/>
        <w:right w:val="none" w:sz="0" w:space="0" w:color="auto"/>
      </w:divBdr>
    </w:div>
    <w:div w:id="1098142025">
      <w:bodyDiv w:val="1"/>
      <w:marLeft w:val="0"/>
      <w:marRight w:val="0"/>
      <w:marTop w:val="0"/>
      <w:marBottom w:val="0"/>
      <w:divBdr>
        <w:top w:val="none" w:sz="0" w:space="0" w:color="auto"/>
        <w:left w:val="none" w:sz="0" w:space="0" w:color="auto"/>
        <w:bottom w:val="none" w:sz="0" w:space="0" w:color="auto"/>
        <w:right w:val="none" w:sz="0" w:space="0" w:color="auto"/>
      </w:divBdr>
    </w:div>
    <w:div w:id="1358579685">
      <w:bodyDiv w:val="1"/>
      <w:marLeft w:val="0"/>
      <w:marRight w:val="0"/>
      <w:marTop w:val="0"/>
      <w:marBottom w:val="0"/>
      <w:divBdr>
        <w:top w:val="none" w:sz="0" w:space="0" w:color="auto"/>
        <w:left w:val="none" w:sz="0" w:space="0" w:color="auto"/>
        <w:bottom w:val="none" w:sz="0" w:space="0" w:color="auto"/>
        <w:right w:val="none" w:sz="0" w:space="0" w:color="auto"/>
      </w:divBdr>
    </w:div>
    <w:div w:id="1419325365">
      <w:bodyDiv w:val="1"/>
      <w:marLeft w:val="0"/>
      <w:marRight w:val="0"/>
      <w:marTop w:val="0"/>
      <w:marBottom w:val="0"/>
      <w:divBdr>
        <w:top w:val="none" w:sz="0" w:space="0" w:color="auto"/>
        <w:left w:val="none" w:sz="0" w:space="0" w:color="auto"/>
        <w:bottom w:val="none" w:sz="0" w:space="0" w:color="auto"/>
        <w:right w:val="none" w:sz="0" w:space="0" w:color="auto"/>
      </w:divBdr>
    </w:div>
    <w:div w:id="1526945920">
      <w:bodyDiv w:val="1"/>
      <w:marLeft w:val="0"/>
      <w:marRight w:val="0"/>
      <w:marTop w:val="0"/>
      <w:marBottom w:val="0"/>
      <w:divBdr>
        <w:top w:val="none" w:sz="0" w:space="0" w:color="auto"/>
        <w:left w:val="none" w:sz="0" w:space="0" w:color="auto"/>
        <w:bottom w:val="none" w:sz="0" w:space="0" w:color="auto"/>
        <w:right w:val="none" w:sz="0" w:space="0" w:color="auto"/>
      </w:divBdr>
    </w:div>
    <w:div w:id="1842888096">
      <w:bodyDiv w:val="1"/>
      <w:marLeft w:val="0"/>
      <w:marRight w:val="0"/>
      <w:marTop w:val="0"/>
      <w:marBottom w:val="0"/>
      <w:divBdr>
        <w:top w:val="none" w:sz="0" w:space="0" w:color="auto"/>
        <w:left w:val="none" w:sz="0" w:space="0" w:color="auto"/>
        <w:bottom w:val="none" w:sz="0" w:space="0" w:color="auto"/>
        <w:right w:val="none" w:sz="0" w:space="0" w:color="auto"/>
      </w:divBdr>
    </w:div>
    <w:div w:id="1885407048">
      <w:bodyDiv w:val="1"/>
      <w:marLeft w:val="0"/>
      <w:marRight w:val="0"/>
      <w:marTop w:val="0"/>
      <w:marBottom w:val="0"/>
      <w:divBdr>
        <w:top w:val="none" w:sz="0" w:space="0" w:color="auto"/>
        <w:left w:val="none" w:sz="0" w:space="0" w:color="auto"/>
        <w:bottom w:val="none" w:sz="0" w:space="0" w:color="auto"/>
        <w:right w:val="none" w:sz="0" w:space="0" w:color="auto"/>
      </w:divBdr>
    </w:div>
    <w:div w:id="1929383309">
      <w:bodyDiv w:val="1"/>
      <w:marLeft w:val="0"/>
      <w:marRight w:val="0"/>
      <w:marTop w:val="0"/>
      <w:marBottom w:val="0"/>
      <w:divBdr>
        <w:top w:val="none" w:sz="0" w:space="0" w:color="auto"/>
        <w:left w:val="none" w:sz="0" w:space="0" w:color="auto"/>
        <w:bottom w:val="none" w:sz="0" w:space="0" w:color="auto"/>
        <w:right w:val="none" w:sz="0" w:space="0" w:color="auto"/>
      </w:divBdr>
    </w:div>
    <w:div w:id="202343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046AB-F3C7-4DDB-81DC-34C4FE74C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6</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Lisa Schlager</cp:lastModifiedBy>
  <cp:revision>30</cp:revision>
  <dcterms:created xsi:type="dcterms:W3CDTF">2018-07-03T17:02:00Z</dcterms:created>
  <dcterms:modified xsi:type="dcterms:W3CDTF">2022-09-21T00:00:00Z</dcterms:modified>
</cp:coreProperties>
</file>